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</w:pPr>
    </w:p>
    <w:p>
      <w:pPr>
        <w:spacing w:after="120"/>
      </w:pPr>
    </w:p>
    <w:p>
      <w:pPr>
        <w:spacing w:before="800" w:after="160"/>
      </w:pPr>
      <w:r>
        <w:rPr>
          <w:rFonts w:ascii="Calibri" w:hAnsi="Calibri"/>
          <w:b/>
          <w:color w:val="14B8A6"/>
          <w:spacing w:val="60"/>
          <w:sz w:val="18"/>
        </w:rPr>
        <w:t>INTERNAL - SPRINT OPERATING KIT</w:t>
      </w:r>
    </w:p>
    <w:p>
      <w:pPr>
        <w:spacing w:before="0" w:after="40"/>
      </w:pPr>
      <w:r>
        <w:rPr>
          <w:rFonts w:ascii="Calibri" w:hAnsi="Calibri"/>
          <w:b/>
          <w:color w:val="0B1F3A"/>
          <w:sz w:val="56"/>
        </w:rPr>
        <w:t>Connection Engagement</w:t>
      </w:r>
    </w:p>
    <w:p>
      <w:pPr>
        <w:spacing w:before="0" w:after="40"/>
      </w:pPr>
      <w:r>
        <w:rPr>
          <w:rFonts w:ascii="Calibri" w:hAnsi="Calibri"/>
          <w:b/>
          <w:color w:val="0B1F3A"/>
          <w:sz w:val="56"/>
        </w:rPr>
        <w:t>Sprint Operating Kit</w:t>
      </w:r>
    </w:p>
    <w:p>
      <w:pPr>
        <w:spacing w:before="120" w:after="400"/>
      </w:pPr>
      <w:r>
        <w:rPr>
          <w:rFonts w:ascii="Calibri" w:hAnsi="Calibri"/>
          <w:i/>
          <w:color w:val="0D9488"/>
          <w:sz w:val="24"/>
        </w:rPr>
        <w:t>Definition of Ready, ceremonies, and cadence - how we run each sprint</w:t>
      </w:r>
    </w:p>
    <w:p>
      <w:pPr>
        <w:pBdr>
          <w:bottom w:val="single" w:sz="12" w:space="1" w:color="14B8A6"/>
        </w:pBdr>
        <w:spacing w:before="0" w:after="160"/>
      </w:pPr>
    </w:p>
    <w:p>
      <w:pPr>
        <w:spacing w:after="40"/>
      </w:pPr>
      <w:r>
        <w:rPr>
          <w:rFonts w:ascii="Calibri" w:hAnsi="Calibri"/>
          <w:b/>
          <w:i w:val="0"/>
          <w:color w:val="0B1F3A"/>
          <w:sz w:val="22"/>
        </w:rPr>
        <w:t>ECS Federal - ServiceNow Practice</w:t>
      </w:r>
    </w:p>
    <w:p>
      <w:pPr>
        <w:spacing w:after="40"/>
      </w:pPr>
      <w:r>
        <w:rPr>
          <w:rFonts w:ascii="Calibri" w:hAnsi="Calibri"/>
          <w:b w:val="0"/>
          <w:i w:val="0"/>
          <w:color w:val="475569"/>
          <w:sz w:val="20"/>
        </w:rPr>
        <w:t>Audience: ECS delivery team - EM, SA, PC, TC</w:t>
      </w:r>
    </w:p>
    <w:p>
      <w:pPr>
        <w:spacing w:after="40"/>
      </w:pPr>
      <w:r>
        <w:rPr>
          <w:rFonts w:ascii="Calibri" w:hAnsi="Calibri"/>
          <w:b w:val="0"/>
          <w:i w:val="0"/>
          <w:color w:val="475569"/>
          <w:sz w:val="20"/>
        </w:rPr>
        <w:t>Companion to: Engagement Delivery Guidelines - Sprint Demo template - User Story backlog</w:t>
      </w:r>
    </w:p>
    <w:p>
      <w:pPr>
        <w:spacing w:after="80"/>
      </w:pPr>
      <w:r>
        <w:rPr>
          <w:rFonts w:ascii="Calibri" w:hAnsi="Calibri"/>
          <w:b w:val="0"/>
          <w:i w:val="0"/>
          <w:color w:val="475569"/>
          <w:sz w:val="20"/>
        </w:rPr>
        <w:t>Document ID: INT-CONN-SOK-01     ·     Version: 1.0     ·     Status: Draft</w:t>
      </w:r>
    </w:p>
    <w:p>
      <w:pPr>
        <w:spacing w:after="280"/>
      </w:pPr>
      <w:r>
        <w:rPr>
          <w:rFonts w:ascii="Calibri" w:hAnsi="Calibri"/>
          <w:b w:val="0"/>
          <w:i/>
          <w:color w:val="475569"/>
          <w:sz w:val="20"/>
        </w:rPr>
        <w:t>Internal Use Only · Confidential</w:t>
      </w:r>
    </w:p>
    <w:p>
      <w:r>
        <w:br w:type="page"/>
      </w:r>
    </w:p>
    <w:p>
      <w:pPr>
        <w:pStyle w:val="Heading1"/>
      </w:pPr>
      <w:r>
        <w:t>How to Use This Kit</w:t>
      </w:r>
    </w:p>
    <w:p>
      <w:pPr>
        <w:spacing w:after="160" w:before="0"/>
      </w:pPr>
      <w:r>
        <w:rPr>
          <w:rFonts w:ascii="Calibri" w:hAnsi="Calibri"/>
          <w:color w:val="1A1A1A"/>
          <w:sz w:val="22"/>
        </w:rPr>
        <w:t>This kit standardizes how we run each two-week sprint on Connection: when a story is Ready, how we plan, demo, and retro, and the weekly cadence. It complements the Definition of Done in the Delivery Guidelines.</w:t>
      </w:r>
    </w:p>
    <w:p>
      <w:pPr>
        <w:pStyle w:val="Heading1"/>
      </w:pPr>
      <w:r>
        <w:t>1.  Who Runs the Sprint - the Scrum Master Hat</w:t>
      </w:r>
    </w:p>
    <w:p>
      <w:pPr>
        <w:spacing w:after="160" w:before="0"/>
      </w:pPr>
      <w:r>
        <w:rPr>
          <w:rFonts w:ascii="Calibri" w:hAnsi="Calibri"/>
          <w:color w:val="1A1A1A"/>
          <w:sz w:val="22"/>
        </w:rPr>
        <w:t>On a pod this size we do not staff a dedicated Scrum Master. The Business Process Consultant / Business Analyst (BPC/BA) wears the Scrum Master hat in addition to facilitating workshops and writing stories. As Scrum Master the BPC/BA:</w:t>
      </w:r>
    </w:p>
    <w:p>
      <w:pPr>
        <w:pStyle w:val="ListBullet"/>
        <w:spacing w:after="40"/>
        <w:ind w:left="360"/>
      </w:pPr>
      <w:r>
        <w:rPr>
          <w:rFonts w:ascii="Calibri" w:hAnsi="Calibri"/>
          <w:sz w:val="22"/>
        </w:rPr>
        <w:t>Runs the ceremonies - planning, daily standup, demo/review, and retro - and owns the two-week cadence.</w:t>
      </w:r>
    </w:p>
    <w:p>
      <w:pPr>
        <w:pStyle w:val="ListBullet"/>
        <w:spacing w:after="40"/>
        <w:ind w:left="360"/>
      </w:pPr>
      <w:r>
        <w:rPr>
          <w:rFonts w:ascii="Calibri" w:hAnsi="Calibri"/>
          <w:sz w:val="22"/>
        </w:rPr>
        <w:t>Enforces the Definition of Ready at intake and the Definition of Done at close.</w:t>
      </w:r>
    </w:p>
    <w:p>
      <w:pPr>
        <w:pStyle w:val="ListBullet"/>
        <w:spacing w:after="40"/>
        <w:ind w:left="360"/>
      </w:pPr>
      <w:r>
        <w:rPr>
          <w:rFonts w:ascii="Calibri" w:hAnsi="Calibri"/>
          <w:sz w:val="22"/>
        </w:rPr>
        <w:t>Owns velocity, burndown, and sprint-health signals, and feeds them to the Executive Health Dashboard.</w:t>
      </w:r>
    </w:p>
    <w:p>
      <w:pPr>
        <w:pStyle w:val="ListBullet"/>
        <w:spacing w:after="40"/>
        <w:ind w:left="360"/>
      </w:pPr>
      <w:r>
        <w:rPr>
          <w:rFonts w:ascii="Calibri" w:hAnsi="Calibri"/>
          <w:sz w:val="22"/>
        </w:rPr>
        <w:t>Removes impediments; escalates the ones the team cannot clear to the Engagement Manager.</w:t>
      </w:r>
    </w:p>
    <w:p>
      <w:pPr>
        <w:pStyle w:val="ListBullet"/>
        <w:spacing w:after="40"/>
        <w:ind w:left="360"/>
      </w:pPr>
      <w:r>
        <w:rPr>
          <w:rFonts w:ascii="Calibri" w:hAnsi="Calibri"/>
          <w:sz w:val="22"/>
        </w:rPr>
        <w:t>Protects the sprint commitment - shields the pod from mid-sprint scope injection and routes new asks to the backlog or the Customization Council.</w:t>
      </w:r>
    </w:p>
    <w:p>
      <w:pPr>
        <w:pStyle w:val="ListBullet"/>
        <w:spacing w:after="40"/>
        <w:ind w:left="360"/>
      </w:pPr>
      <w:r>
        <w:rPr>
          <w:rFonts w:ascii="Calibri" w:hAnsi="Calibri"/>
          <w:sz w:val="22"/>
        </w:rPr>
        <w:t>Coaches both the ECS pod and the Connection team on the agile operating rhythm.</w:t>
      </w:r>
    </w:p>
    <w:p>
      <w:pPr>
        <w:pBdr>
          <w:top w:val="single" w:sz="4" w:space="4" w:color="2E74B5"/>
          <w:left w:val="single" w:sz="4" w:space="4" w:color="2E74B5"/>
          <w:bottom w:val="single" w:sz="4" w:space="4" w:color="2E74B5"/>
          <w:right w:val="single" w:sz="4" w:space="4" w:color="2E74B5"/>
        </w:pBdr>
        <w:shd w:val="clear" w:color="auto" w:fill="EAF1F8"/>
        <w:spacing w:before="120" w:after="160"/>
      </w:pPr>
      <w:r>
        <w:rPr>
          <w:rFonts w:ascii="Calibri" w:hAnsi="Calibri"/>
          <w:b/>
          <w:color w:val="0B1F3A"/>
          <w:sz w:val="20"/>
        </w:rPr>
        <w:t>Neutrality check: the BPC/BA both writes stories and serves as Scrum Master. Where the two pull against each other - e.g., scope pressure on the sprint - the EM and Practice Lead are the check that keeps the servant-leader role honest. No extra seat required.</w:t>
      </w:r>
    </w:p>
    <w:p>
      <w:pPr>
        <w:pStyle w:val="Heading1"/>
      </w:pPr>
      <w:r>
        <w:t>2.  Definition of Ready (DoR)</w:t>
      </w:r>
    </w:p>
    <w:p>
      <w:pPr>
        <w:spacing w:after="160" w:before="0"/>
      </w:pPr>
      <w:r>
        <w:rPr>
          <w:rFonts w:ascii="Calibri" w:hAnsi="Calibri"/>
          <w:color w:val="1A1A1A"/>
          <w:sz w:val="22"/>
        </w:rPr>
        <w:t>A story may enter a sprint only when:</w:t>
      </w:r>
    </w:p>
    <w:p>
      <w:pPr>
        <w:pStyle w:val="ListBullet"/>
        <w:spacing w:after="40"/>
        <w:ind w:left="360"/>
      </w:pPr>
      <w:r>
        <w:rPr>
          <w:rFonts w:ascii="Calibri" w:hAnsi="Calibri"/>
          <w:sz w:val="22"/>
        </w:rPr>
        <w:t>It traces to a workshop decision (or a clear configuration need) and an epic.</w:t>
      </w:r>
    </w:p>
    <w:p>
      <w:pPr>
        <w:pStyle w:val="ListBullet"/>
        <w:spacing w:after="40"/>
        <w:ind w:left="360"/>
      </w:pPr>
      <w:r>
        <w:rPr>
          <w:rFonts w:ascii="Calibri" w:hAnsi="Calibri"/>
          <w:sz w:val="22"/>
        </w:rPr>
        <w:t>Acceptance criteria are written (Given/When/Then) and reviewed with the Product Owner.</w:t>
      </w:r>
    </w:p>
    <w:p>
      <w:pPr>
        <w:pStyle w:val="ListBullet"/>
        <w:spacing w:after="40"/>
        <w:ind w:left="360"/>
      </w:pPr>
      <w:r>
        <w:rPr>
          <w:rFonts w:ascii="Calibri" w:hAnsi="Calibri"/>
          <w:sz w:val="22"/>
        </w:rPr>
        <w:t>Dependencies (data, access, prior stories) are identified and met or scheduled.</w:t>
      </w:r>
    </w:p>
    <w:p>
      <w:pPr>
        <w:pStyle w:val="ListBullet"/>
        <w:spacing w:after="40"/>
        <w:ind w:left="360"/>
      </w:pPr>
      <w:r>
        <w:rPr>
          <w:rFonts w:ascii="Calibri" w:hAnsi="Calibri"/>
          <w:sz w:val="22"/>
        </w:rPr>
        <w:t>It is estimated (story points) and small enough to finish in the sprint.</w:t>
      </w:r>
    </w:p>
    <w:p>
      <w:pPr>
        <w:pStyle w:val="ListBullet"/>
        <w:spacing w:after="40"/>
        <w:ind w:left="360"/>
      </w:pPr>
      <w:r>
        <w:rPr>
          <w:rFonts w:ascii="Calibri" w:hAnsi="Calibri"/>
          <w:sz w:val="22"/>
        </w:rPr>
        <w:t>It is OOTB-first; any likely deviation is flagged for the Council before build.</w:t>
      </w:r>
    </w:p>
    <w:p>
      <w:pPr>
        <w:pStyle w:val="Heading1"/>
      </w:pPr>
      <w:r>
        <w:t>3.  Sprint Planning Agenda (90 min)</w:t>
      </w:r>
    </w:p>
    <w:p>
      <w:pPr>
        <w:pStyle w:val="ListBullet"/>
        <w:spacing w:after="40"/>
        <w:ind w:left="360"/>
      </w:pPr>
      <w:r>
        <w:rPr>
          <w:rFonts w:ascii="Calibri" w:hAnsi="Calibri"/>
          <w:sz w:val="22"/>
        </w:rPr>
        <w:t>Review sprint goal and capacity (see Sprint Plan &amp; Capacity Model).</w:t>
      </w:r>
    </w:p>
    <w:p>
      <w:pPr>
        <w:pStyle w:val="ListBullet"/>
        <w:spacing w:after="40"/>
        <w:ind w:left="360"/>
      </w:pPr>
      <w:r>
        <w:rPr>
          <w:rFonts w:ascii="Calibri" w:hAnsi="Calibri"/>
          <w:sz w:val="22"/>
        </w:rPr>
        <w:t>Walk the candidate stories; confirm each meets the DoR.</w:t>
      </w:r>
    </w:p>
    <w:p>
      <w:pPr>
        <w:pStyle w:val="ListBullet"/>
        <w:spacing w:after="40"/>
        <w:ind w:left="360"/>
      </w:pPr>
      <w:r>
        <w:rPr>
          <w:rFonts w:ascii="Calibri" w:hAnsi="Calibri"/>
          <w:sz w:val="22"/>
        </w:rPr>
        <w:t>Identify dependencies and customer inputs needed this sprint (update the Dependency Tracker).</w:t>
      </w:r>
    </w:p>
    <w:p>
      <w:pPr>
        <w:pStyle w:val="ListBullet"/>
        <w:spacing w:after="40"/>
        <w:ind w:left="360"/>
      </w:pPr>
      <w:r>
        <w:rPr>
          <w:rFonts w:ascii="Calibri" w:hAnsi="Calibri"/>
          <w:sz w:val="22"/>
        </w:rPr>
        <w:t>Commit the sprint backlog; record in SN Agile.</w:t>
      </w:r>
    </w:p>
    <w:p>
      <w:pPr>
        <w:pStyle w:val="Heading1"/>
      </w:pPr>
      <w:r>
        <w:t>4.  Sprint Demo / Review</w:t>
      </w:r>
    </w:p>
    <w:p>
      <w:pPr>
        <w:spacing w:after="160" w:before="0"/>
      </w:pPr>
      <w:r>
        <w:rPr>
          <w:rFonts w:ascii="Calibri" w:hAnsi="Calibri"/>
          <w:color w:val="1A1A1A"/>
          <w:sz w:val="22"/>
        </w:rPr>
        <w:t>Use the Sprint Demo template. Demo working stories against real Connection data; secure Product Owner acceptance (3-business-day window) and record it in the Acceptance &amp; Sign-off Log.</w:t>
      </w:r>
    </w:p>
    <w:p>
      <w:pPr>
        <w:pStyle w:val="Heading1"/>
      </w:pPr>
      <w:r>
        <w:t>5.  Sprint Retrospective (45 min)</w:t>
      </w:r>
    </w:p>
    <w:p>
      <w:pPr>
        <w:pStyle w:val="ListBullet"/>
        <w:spacing w:after="40"/>
        <w:ind w:left="360"/>
      </w:pPr>
      <w:r>
        <w:rPr>
          <w:rFonts w:ascii="Calibri" w:hAnsi="Calibri"/>
          <w:sz w:val="22"/>
        </w:rPr>
        <w:t>What went well; what to keep.</w:t>
      </w:r>
    </w:p>
    <w:p>
      <w:pPr>
        <w:pStyle w:val="ListBullet"/>
        <w:spacing w:after="40"/>
        <w:ind w:left="360"/>
      </w:pPr>
      <w:r>
        <w:rPr>
          <w:rFonts w:ascii="Calibri" w:hAnsi="Calibri"/>
          <w:sz w:val="22"/>
        </w:rPr>
        <w:t>What slowed us; root cause (esp. dependency slips or OOTB-defense churn).</w:t>
      </w:r>
    </w:p>
    <w:p>
      <w:pPr>
        <w:pStyle w:val="ListBullet"/>
        <w:spacing w:after="40"/>
        <w:ind w:left="360"/>
      </w:pPr>
      <w:r>
        <w:rPr>
          <w:rFonts w:ascii="Calibri" w:hAnsi="Calibri"/>
          <w:sz w:val="22"/>
        </w:rPr>
        <w:t>Actions with owners and due dates; carry into the next sprint.</w:t>
      </w:r>
    </w:p>
    <w:p>
      <w:pPr>
        <w:pStyle w:val="ListBullet"/>
        <w:spacing w:after="40"/>
        <w:ind w:left="360"/>
      </w:pPr>
      <w:r>
        <w:rPr>
          <w:rFonts w:ascii="Calibri" w:hAnsi="Calibri"/>
          <w:sz w:val="22"/>
        </w:rPr>
        <w:t>Feed material risks/decisions into the RAID and Decision Register.</w:t>
      </w:r>
    </w:p>
    <w:p>
      <w:pPr>
        <w:pStyle w:val="Heading1"/>
      </w:pPr>
      <w:r>
        <w:t>6.  Weekly Cadence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4493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shd w:val="clear" w:color="auto" w:fill="0B1F3A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2"/>
              </w:rPr>
              <w:t>When</w:t>
            </w:r>
          </w:p>
        </w:tc>
        <w:tc>
          <w:tcPr>
            <w:tcW w:type="dxa" w:w="4493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shd w:val="clear" w:color="auto" w:fill="0B1F3A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2"/>
              </w:rPr>
              <w:t>Ceremony / Touchpoint</w:t>
            </w:r>
          </w:p>
        </w:tc>
        <w:tc>
          <w:tcPr>
            <w:tcW w:type="dxa" w:w="4493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shd w:val="clear" w:color="auto" w:fill="0B1F3A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2"/>
              </w:rPr>
              <w:t>Owner</w:t>
            </w:r>
          </w:p>
        </w:tc>
      </w:tr>
      <w:tr>
        <w:tc>
          <w:tcPr>
            <w:tcW w:type="dxa" w:w="4493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shd w:val="clear" w:color="auto" w:fill="F8FAFC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before="40" w:after="40"/>
            </w:pPr>
            <w:r>
              <w:rPr>
                <w:rFonts w:ascii="Calibri" w:hAnsi="Calibri"/>
                <w:sz w:val="20"/>
              </w:rPr>
              <w:t>Daily</w:t>
            </w:r>
          </w:p>
        </w:tc>
        <w:tc>
          <w:tcPr>
            <w:tcW w:type="dxa" w:w="4493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shd w:val="clear" w:color="auto" w:fill="F8FAFC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before="40" w:after="40"/>
            </w:pPr>
            <w:r>
              <w:rPr>
                <w:rFonts w:ascii="Calibri" w:hAnsi="Calibri"/>
                <w:sz w:val="20"/>
              </w:rPr>
              <w:t>Standup (15 min)</w:t>
            </w:r>
          </w:p>
        </w:tc>
        <w:tc>
          <w:tcPr>
            <w:tcW w:type="dxa" w:w="4493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shd w:val="clear" w:color="auto" w:fill="F8FAFC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before="40" w:after="40"/>
            </w:pPr>
            <w:r>
              <w:rPr>
                <w:rFonts w:ascii="Calibri" w:hAnsi="Calibri"/>
                <w:sz w:val="20"/>
              </w:rPr>
              <w:t>BPC/BA (Scrum Master)</w:t>
            </w:r>
          </w:p>
        </w:tc>
      </w:tr>
      <w:tr>
        <w:tc>
          <w:tcPr>
            <w:tcW w:type="dxa" w:w="4493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before="40" w:after="40"/>
            </w:pPr>
            <w:r>
              <w:rPr>
                <w:rFonts w:ascii="Calibri" w:hAnsi="Calibri"/>
                <w:sz w:val="20"/>
              </w:rPr>
              <w:t>Weekly</w:t>
            </w:r>
          </w:p>
        </w:tc>
        <w:tc>
          <w:tcPr>
            <w:tcW w:type="dxa" w:w="4493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before="40" w:after="40"/>
            </w:pPr>
            <w:r>
              <w:rPr>
                <w:rFonts w:ascii="Calibri" w:hAnsi="Calibri"/>
                <w:sz w:val="20"/>
              </w:rPr>
              <w:t>Status report to Sponsor/PM; health report to practice mgmt (Fri COB)</w:t>
            </w:r>
          </w:p>
        </w:tc>
        <w:tc>
          <w:tcPr>
            <w:tcW w:type="dxa" w:w="4493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before="40" w:after="40"/>
            </w:pPr>
            <w:r>
              <w:rPr>
                <w:rFonts w:ascii="Calibri" w:hAnsi="Calibri"/>
                <w:sz w:val="20"/>
              </w:rPr>
              <w:t>EM</w:t>
            </w:r>
          </w:p>
        </w:tc>
      </w:tr>
      <w:tr>
        <w:tc>
          <w:tcPr>
            <w:tcW w:type="dxa" w:w="4493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shd w:val="clear" w:color="auto" w:fill="F8FAFC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before="40" w:after="40"/>
            </w:pPr>
            <w:r>
              <w:rPr>
                <w:rFonts w:ascii="Calibri" w:hAnsi="Calibri"/>
                <w:sz w:val="20"/>
              </w:rPr>
              <w:t>Bi-weekly</w:t>
            </w:r>
          </w:p>
        </w:tc>
        <w:tc>
          <w:tcPr>
            <w:tcW w:type="dxa" w:w="4493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shd w:val="clear" w:color="auto" w:fill="F8FAFC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before="40" w:after="40"/>
            </w:pPr>
            <w:r>
              <w:rPr>
                <w:rFonts w:ascii="Calibri" w:hAnsi="Calibri"/>
                <w:sz w:val="20"/>
              </w:rPr>
              <w:t>Sprint demo + Sponsor sync; planning + retro at sprint boundary</w:t>
            </w:r>
          </w:p>
        </w:tc>
        <w:tc>
          <w:tcPr>
            <w:tcW w:type="dxa" w:w="4493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shd w:val="clear" w:color="auto" w:fill="F8FAFC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before="40" w:after="40"/>
            </w:pPr>
            <w:r>
              <w:rPr>
                <w:rFonts w:ascii="Calibri" w:hAnsi="Calibri"/>
                <w:sz w:val="20"/>
              </w:rPr>
              <w:t>BPC/BA (SM) + EM</w:t>
            </w:r>
          </w:p>
        </w:tc>
      </w:tr>
      <w:tr>
        <w:tc>
          <w:tcPr>
            <w:tcW w:type="dxa" w:w="4493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before="40" w:after="40"/>
            </w:pPr>
            <w:r>
              <w:rPr>
                <w:rFonts w:ascii="Calibri" w:hAnsi="Calibri"/>
                <w:sz w:val="20"/>
              </w:rPr>
              <w:t>As needed</w:t>
            </w:r>
          </w:p>
        </w:tc>
        <w:tc>
          <w:tcPr>
            <w:tcW w:type="dxa" w:w="4493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before="40" w:after="40"/>
            </w:pPr>
            <w:r>
              <w:rPr>
                <w:rFonts w:ascii="Calibri" w:hAnsi="Calibri"/>
                <w:sz w:val="20"/>
              </w:rPr>
              <w:t>Customization Council (48-hr SLA)</w:t>
            </w:r>
          </w:p>
        </w:tc>
        <w:tc>
          <w:tcPr>
            <w:tcW w:type="dxa" w:w="4493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before="40" w:after="40"/>
            </w:pPr>
            <w:r>
              <w:rPr>
                <w:rFonts w:ascii="Calibri" w:hAnsi="Calibri"/>
                <w:sz w:val="20"/>
              </w:rPr>
              <w:t>EM</w:t>
            </w:r>
          </w:p>
        </w:tc>
      </w:tr>
      <w:tr>
        <w:tc>
          <w:tcPr>
            <w:tcW w:type="dxa" w:w="4493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shd w:val="clear" w:color="auto" w:fill="F8FAFC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before="40" w:after="40"/>
            </w:pPr>
            <w:r>
              <w:rPr>
                <w:rFonts w:ascii="Calibri" w:hAnsi="Calibri"/>
                <w:sz w:val="20"/>
              </w:rPr>
              <w:t>Monthly</w:t>
            </w:r>
          </w:p>
        </w:tc>
        <w:tc>
          <w:tcPr>
            <w:tcW w:type="dxa" w:w="4493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shd w:val="clear" w:color="auto" w:fill="F8FAFC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before="40" w:after="40"/>
            </w:pPr>
            <w:r>
              <w:rPr>
                <w:rFonts w:ascii="Calibri" w:hAnsi="Calibri"/>
                <w:sz w:val="20"/>
              </w:rPr>
              <w:t>Steering review</w:t>
            </w:r>
          </w:p>
        </w:tc>
        <w:tc>
          <w:tcPr>
            <w:tcW w:type="dxa" w:w="4493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shd w:val="clear" w:color="auto" w:fill="F8FAFC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before="40" w:after="40"/>
            </w:pPr>
            <w:r>
              <w:rPr>
                <w:rFonts w:ascii="Calibri" w:hAnsi="Calibri"/>
                <w:sz w:val="20"/>
              </w:rPr>
              <w:t>EM</w:t>
            </w:r>
          </w:p>
        </w:tc>
      </w:tr>
    </w:tbl>
    <w:p>
      <w:pPr>
        <w:spacing w:after="40"/>
      </w:pPr>
    </w:p>
    <w:p>
      <w:pPr>
        <w:pBdr>
          <w:top w:val="single" w:sz="4" w:space="4" w:color="2E74B5"/>
          <w:left w:val="single" w:sz="4" w:space="4" w:color="2E74B5"/>
          <w:bottom w:val="single" w:sz="4" w:space="4" w:color="2E74B5"/>
          <w:right w:val="single" w:sz="4" w:space="4" w:color="2E74B5"/>
        </w:pBdr>
        <w:shd w:val="clear" w:color="auto" w:fill="EAF1F8"/>
        <w:spacing w:before="120" w:after="160"/>
      </w:pPr>
      <w:r>
        <w:rPr>
          <w:rFonts w:ascii="Calibri" w:hAnsi="Calibri"/>
          <w:b/>
          <w:color w:val="0B1F3A"/>
          <w:sz w:val="20"/>
        </w:rPr>
        <w:t>The cadence exists to surface issues early. A dependency slip named at standup is cheap; one discovered at the demo is not.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440" w:bottom="1152" w:left="1440" w:header="504" w:footer="57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9360"/>
      </w:tabs>
    </w:pPr>
    <w:r>
      <w:rPr>
        <w:rFonts w:ascii="Calibri" w:hAnsi="Calibri"/>
        <w:color w:val="475569"/>
        <w:sz w:val="16"/>
      </w:rPr>
      <w:t>ECS Federal - ServiceNow Practice  ·  Internal Use Only</w:t>
    </w:r>
    <w:r>
      <w:tab/>
    </w:r>
    <w:r>
      <w:rPr>
        <w:rFonts w:ascii="Calibri" w:hAnsi="Calibri"/>
        <w:color w:val="475569"/>
        <w:sz w:val="16"/>
      </w:rPr>
      <w:t xml:space="preserve">Page </w:t>
    </w:r>
    <w:r>
      <w:rPr>
        <w:rFonts w:ascii="Calibri" w:hAnsi="Calibri"/>
        <w:color w:val="475569"/>
        <w:sz w:val="16"/>
      </w:rPr>
      <w:fldChar w:fldCharType="begin"/>
      <w:instrText>PAGE</w:instrText>
      <w:fldChar w:fldCharType="separate"/>
      <w:fldChar w:fldCharType="end"/>
    </w:r>
    <w:r>
      <w:rPr>
        <w:rFonts w:ascii="Calibri" w:hAnsi="Calibri"/>
        <w:color w:val="475569"/>
        <w:sz w:val="16"/>
      </w:rPr>
      <w:t xml:space="preserve"> of </w:t>
    </w:r>
    <w:r>
      <w:rPr>
        <w:rFonts w:ascii="Calibri" w:hAnsi="Calibri"/>
        <w:color w:val="475569"/>
        <w:sz w:val="16"/>
      </w:rPr>
      <w:fldChar w:fldCharType="begin"/>
      <w:instrText>NUMPAGES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color="14B8A6" w:sz="8" w:space="1"/>
      </w:pBdr>
      <w:tabs>
        <w:tab w:val="right" w:pos="9360"/>
      </w:tabs>
    </w:pPr>
    <w:r>
      <w:drawing>
        <wp:inline xmlns:a="http://schemas.openxmlformats.org/drawingml/2006/main" xmlns:pic="http://schemas.openxmlformats.org/drawingml/2006/picture">
          <wp:extent cx="960120" cy="178931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ima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960120" cy="178931"/>
                  </a:xfrm>
                  <a:prstGeom prst="rect"/>
                </pic:spPr>
              </pic:pic>
            </a:graphicData>
          </a:graphic>
        </wp:inline>
      </w:drawing>
    </w:r>
    <w:r>
      <w:tab/>
    </w:r>
    <w:r>
      <w:rPr>
        <w:rFonts w:ascii="Calibri" w:hAnsi="Calibri"/>
        <w:color w:val="475569"/>
        <w:spacing w:val="30"/>
        <w:sz w:val="18"/>
      </w:rPr>
      <w:t>Internal - Connection Sprint Operating Kit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cs="Calibri" w:eastAsia="Calibri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 w:cs="Calibri" w:eastAsia="Calibri"/>
      <w:b/>
      <w:bCs/>
      <w:color w:val="0B1F3A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80"/>
      <w:outlineLvl w:val="1"/>
    </w:pPr>
    <w:rPr>
      <w:rFonts w:asciiTheme="majorHAnsi" w:eastAsiaTheme="majorEastAsia" w:hAnsiTheme="majorHAnsi" w:cstheme="majorBidi" w:ascii="Calibri" w:hAnsi="Calibri" w:cs="Calibri" w:eastAsia="Calibri"/>
      <w:b/>
      <w:bCs/>
      <w:color w:val="0B1F3A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40"/>
      <w:outlineLvl w:val="2"/>
    </w:pPr>
    <w:rPr>
      <w:rFonts w:asciiTheme="majorHAnsi" w:eastAsiaTheme="majorEastAsia" w:hAnsiTheme="majorHAnsi" w:cstheme="majorBidi" w:ascii="Calibri" w:hAnsi="Calibri" w:cs="Calibri" w:eastAsia="Calibri"/>
      <w:b/>
      <w:bCs/>
      <w:color w:val="2E74B5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80" w:line="240" w:lineRule="auto" w:before="0"/>
      <w:contextualSpacing/>
    </w:pPr>
    <w:rPr>
      <w:rFonts w:asciiTheme="majorHAnsi" w:eastAsiaTheme="majorEastAsia" w:hAnsiTheme="majorHAnsi" w:cstheme="majorBidi" w:ascii="Calibri" w:hAnsi="Calibri" w:cs="Calibri" w:eastAsia="Calibri"/>
      <w:b/>
      <w:color w:val="0B1F3A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