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00A3E0"/>
          <w:sz w:val="20"/>
          <w:szCs w:val="20"/>
        </w:rPr>
        <w:t xml:space="preserve">EVERFORTH CONSULTING SERVICES</w:t>
      </w:r>
    </w:p>
    <w:p>
      <w:pPr>
        <w:spacing w:after="80" w:before="0"/>
      </w:pPr>
      <w:r>
        <w:rPr>
          <w:rFonts w:ascii="Arial" w:cs="Arial" w:eastAsia="Arial" w:hAnsi="Arial"/>
          <w:b/>
          <w:bCs/>
          <w:color w:val="1B3A6B"/>
          <w:sz w:val="36"/>
          <w:szCs w:val="36"/>
        </w:rPr>
        <w:t xml:space="preserve">Statement of Work — Reference Language</w:t>
      </w:r>
    </w:p>
    <w:p>
      <w:pPr>
        <w:pBdr>
          <w:bottom w:val="single" w:color="00A3E0" w:sz="12" w:space="6"/>
        </w:pBdr>
        <w:spacing w:after="40" w:before="0"/>
      </w:pPr>
      <w:r>
        <w:rPr>
          <w:rFonts w:ascii="Arial" w:cs="Arial" w:eastAsia="Arial" w:hAnsi="Arial"/>
          <w:b w:val="false"/>
          <w:bCs w:val="false"/>
          <w:color w:val="1B3A6B"/>
          <w:sz w:val="26"/>
          <w:szCs w:val="26"/>
        </w:rPr>
        <w:t xml:space="preserve">Scope Classification Definitions: Defect · Enhancement · Missed Requirement</w:t>
      </w:r>
    </w:p>
    <w:p>
      <w:pPr>
        <w:spacing w:after="0" w:before="120"/>
      </w:pPr>
      <w:r>
        <w:t xml:space="preserve"/>
      </w:r>
    </w:p>
    <w:p>
      <w:pPr>
        <w:pStyle w:val="Heading1"/>
        <w:pBdr>
          <w:bottom w:val="single" w:color="00A3E0" w:sz="12" w:space="4"/>
        </w:pBdr>
        <w:spacing w:after="160" w:before="320"/>
      </w:pPr>
      <w:r>
        <w:rPr>
          <w:rFonts w:ascii="Arial" w:cs="Arial" w:eastAsia="Arial" w:hAnsi="Arial"/>
          <w:b/>
          <w:bCs/>
          <w:color w:val="1B3A6B"/>
          <w:sz w:val="32"/>
          <w:szCs w:val="32"/>
        </w:rPr>
        <w:t xml:space="preserve">1. Purpose</w:t>
      </w:r>
    </w:p>
    <w:p>
      <w:pPr>
        <w:spacing w:after="80" w:before="80"/>
        <w:jc w:val="left"/>
      </w:pPr>
      <w:r>
        <w:rPr>
          <w:rFonts w:ascii="Arial" w:cs="Arial" w:eastAsia="Arial" w:hAnsi="Arial"/>
          <w:b w:val="false"/>
          <w:bCs w:val="false"/>
          <w:i w:val="false"/>
          <w:iCs w:val="false"/>
          <w:color w:val="1A1A1A"/>
          <w:sz w:val="20"/>
          <w:szCs w:val="20"/>
        </w:rPr>
        <w:t xml:space="preserve">This document establishes agreed-upon contractual definitions for three categories of scope-related findings that may arise during the delivery of a ServiceNow Out-of-the-Box (OOTB) engagement. The intent is to create a shared, unambiguous framework that protects both Everforth Consulting Services (ECS) and the Customer from misaligned expectations, scope creep, and delivery disputes.</w:t>
      </w:r>
    </w:p>
    <w:p>
      <w:pPr>
        <w:spacing w:after="0" w:before="60"/>
      </w:pPr>
      <w:r>
        <w:t xml:space="preserve"/>
      </w:r>
    </w:p>
    <w:p>
      <w:pPr>
        <w:spacing w:after="80" w:before="80"/>
        <w:jc w:val="left"/>
      </w:pPr>
      <w:r>
        <w:rPr>
          <w:rFonts w:ascii="Arial" w:cs="Arial" w:eastAsia="Arial" w:hAnsi="Arial"/>
          <w:b w:val="false"/>
          <w:bCs w:val="false"/>
          <w:i w:val="false"/>
          <w:iCs w:val="false"/>
          <w:color w:val="1A1A1A"/>
          <w:sz w:val="20"/>
          <w:szCs w:val="20"/>
        </w:rPr>
        <w:t xml:space="preserve">These definitions are intended to be incorporated by reference into the project Statement of Work (SOW) and apply to all sprints, workstreams, and deliverables within the engagement.</w:t>
      </w:r>
    </w:p>
    <w:p>
      <w:pPr>
        <w:spacing w:after="0" w:before="120"/>
      </w:pPr>
      <w:r>
        <w:t xml:space="preserve"/>
      </w:r>
    </w:p>
    <w:p>
      <w:pPr>
        <w:pStyle w:val="Heading1"/>
        <w:pBdr>
          <w:bottom w:val="single" w:color="00A3E0" w:sz="12" w:space="4"/>
        </w:pBdr>
        <w:spacing w:after="160" w:before="320"/>
      </w:pPr>
      <w:r>
        <w:rPr>
          <w:rFonts w:ascii="Arial" w:cs="Arial" w:eastAsia="Arial" w:hAnsi="Arial"/>
          <w:b/>
          <w:bCs/>
          <w:color w:val="1B3A6B"/>
          <w:sz w:val="32"/>
          <w:szCs w:val="32"/>
        </w:rPr>
        <w:t xml:space="preserve">2. Guiding Principles</w:t>
      </w:r>
    </w:p>
    <w:p>
      <w:pPr>
        <w:spacing w:after="80" w:before="80"/>
        <w:jc w:val="left"/>
      </w:pPr>
      <w:r>
        <w:rPr>
          <w:rFonts w:ascii="Arial" w:cs="Arial" w:eastAsia="Arial" w:hAnsi="Arial"/>
          <w:b w:val="false"/>
          <w:bCs w:val="false"/>
          <w:i w:val="false"/>
          <w:iCs w:val="false"/>
          <w:color w:val="1A1A1A"/>
          <w:sz w:val="20"/>
          <w:szCs w:val="20"/>
        </w:rPr>
        <w:t xml:space="preserve">The following principles underpin how scope classification decisions are made:</w:t>
      </w:r>
    </w:p>
    <w:p>
      <w:pPr>
        <w:spacing w:after="0" w:before="60"/>
      </w:pPr>
      <w:r>
        <w:t xml:space="preserve"/>
      </w:r>
    </w:p>
    <w:p>
      <w:pPr>
        <w:pStyle w:val="ListParagraph"/>
        <w:numPr>
          <w:ilvl w:val="0"/>
          <w:numId w:val="2"/>
        </w:numPr>
        <w:spacing w:after="60" w:before="60"/>
      </w:pPr>
      <w:r>
        <w:rPr>
          <w:rFonts w:ascii="Arial" w:cs="Arial" w:eastAsia="Arial" w:hAnsi="Arial"/>
          <w:color w:val="1A1A1A"/>
          <w:sz w:val="20"/>
          <w:szCs w:val="20"/>
        </w:rPr>
        <w:t xml:space="preserve">Approved design documentation — including Sprint Workbooks, Design Decision Records, and Configuration Worksheets — serves as the binding record of what was agreed and in scope.</w:t>
      </w:r>
    </w:p>
    <w:p>
      <w:pPr>
        <w:pStyle w:val="ListParagraph"/>
        <w:numPr>
          <w:ilvl w:val="0"/>
          <w:numId w:val="2"/>
        </w:numPr>
        <w:spacing w:after="60" w:before="60"/>
      </w:pPr>
      <w:r>
        <w:rPr>
          <w:rFonts w:ascii="Arial" w:cs="Arial" w:eastAsia="Arial" w:hAnsi="Arial"/>
          <w:color w:val="1A1A1A"/>
          <w:sz w:val="20"/>
          <w:szCs w:val="20"/>
        </w:rPr>
        <w:t xml:space="preserve">The OOTB-first commitment means ECS will not introduce custom code to resolve scope gaps unless a formal change order is approved.</w:t>
      </w:r>
    </w:p>
    <w:p>
      <w:pPr>
        <w:pStyle w:val="ListParagraph"/>
        <w:numPr>
          <w:ilvl w:val="0"/>
          <w:numId w:val="2"/>
        </w:numPr>
        <w:spacing w:after="60" w:before="60"/>
      </w:pPr>
      <w:r>
        <w:rPr>
          <w:rFonts w:ascii="Arial" w:cs="Arial" w:eastAsia="Arial" w:hAnsi="Arial"/>
          <w:color w:val="1A1A1A"/>
          <w:sz w:val="20"/>
          <w:szCs w:val="20"/>
        </w:rPr>
        <w:t xml:space="preserve">Classification decisions are made jointly by the ECS Delivery Manager and the Customer Sponsor, with escalation to the ECS Practice Manager when parties cannot agree.</w:t>
      </w:r>
    </w:p>
    <w:p>
      <w:pPr>
        <w:pStyle w:val="ListParagraph"/>
        <w:numPr>
          <w:ilvl w:val="0"/>
          <w:numId w:val="2"/>
        </w:numPr>
        <w:spacing w:after="60" w:before="60"/>
      </w:pPr>
      <w:r>
        <w:rPr>
          <w:rFonts w:ascii="Arial" w:cs="Arial" w:eastAsia="Arial" w:hAnsi="Arial"/>
          <w:color w:val="1A1A1A"/>
          <w:sz w:val="20"/>
          <w:szCs w:val="20"/>
        </w:rPr>
        <w:t xml:space="preserve">No classification decision should be used to shield either party from accountability for honest documentation failures during scoping.</w:t>
      </w:r>
    </w:p>
    <w:p>
      <w:pPr>
        <w:spacing w:after="0" w:before="120"/>
      </w:pPr>
      <w:r>
        <w:t xml:space="preserve"/>
      </w:r>
    </w:p>
    <w:p>
      <w:pPr>
        <w:pStyle w:val="Heading1"/>
        <w:pBdr>
          <w:bottom w:val="single" w:color="00A3E0" w:sz="12" w:space="4"/>
        </w:pBdr>
        <w:spacing w:after="160" w:before="320"/>
      </w:pPr>
      <w:r>
        <w:rPr>
          <w:rFonts w:ascii="Arial" w:cs="Arial" w:eastAsia="Arial" w:hAnsi="Arial"/>
          <w:b/>
          <w:bCs/>
          <w:color w:val="1B3A6B"/>
          <w:sz w:val="32"/>
          <w:szCs w:val="32"/>
        </w:rPr>
        <w:t xml:space="preserve">3. Definitions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1B6B3A" w:sz="6"/>
              <w:left w:val="single" w:color="1B6B3A" w:sz="6"/>
              <w:bottom w:val="single" w:color="1B6B3A" w:sz="6"/>
              <w:right w:val="single" w:color="1B6B3A" w:sz="6"/>
            </w:tcBorders>
            <w:shd w:fill="1B6B3A"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3.1  DEFECT</w:t>
            </w:r>
          </w:p>
        </w:tc>
      </w:tr>
      <w:tr>
        <w:tc>
          <w:tcPr>
            <w:gridSpan w:val="2"/>
            <w:tcBorders>
              <w:top w:val="single" w:color="C5D8E8" w:sz="6"/>
              <w:left w:val="single" w:color="C5D8E8" w:sz="6"/>
              <w:bottom w:val="single" w:color="C5D8E8" w:sz="6"/>
              <w:right w:val="single" w:color="C5D8E8" w:sz="6"/>
            </w:tcBorders>
            <w:shd w:fill="EBF4FA" w:val="clear"/>
            <w:tcMar>
              <w:top w:type="dxa" w:w="120"/>
              <w:left w:type="dxa" w:w="200"/>
              <w:bottom w:type="dxa" w:w="120"/>
              <w:right w:type="dxa" w:w="200"/>
            </w:tcMar>
          </w:tcPr>
          <w:p>
            <w:pPr>
              <w:spacing w:after="60" w:before="0"/>
            </w:pPr>
            <w:r>
              <w:rPr>
                <w:rFonts w:ascii="Arial" w:cs="Arial" w:eastAsia="Arial" w:hAnsi="Arial"/>
                <w:b/>
                <w:bCs/>
                <w:color w:val="666666"/>
                <w:sz w:val="18"/>
                <w:szCs w:val="18"/>
              </w:rPr>
              <w:t xml:space="preserve">Definition</w:t>
            </w:r>
          </w:p>
          <w:p>
            <w:pPr>
              <w:spacing w:after="0" w:before="0"/>
            </w:pPr>
            <w:r>
              <w:rPr>
                <w:rFonts w:ascii="Arial" w:cs="Arial" w:eastAsia="Arial" w:hAnsi="Arial"/>
                <w:color w:val="1A1A1A"/>
                <w:sz w:val="20"/>
                <w:szCs w:val="20"/>
              </w:rPr>
              <w:t xml:space="preserve">A Defect is any condition in which a delivered configuration or feature does not perform as documented in the approved design documentation, or where a standard ServiceNow OOTB capability fails to operate as described in ServiceNow’s published platform documentation, with no customer-specific configuration as the root cause.</w:t>
            </w:r>
          </w:p>
        </w:tc>
      </w:tr>
      <w:tr>
        <w:tc>
          <w:tcPr>
            <w:tcW w:type="dxa" w:w="2800"/>
            <w:tcBorders>
              <w:top w:val="single" w:color="C5D8E8" w:sz="6"/>
              <w:left w:val="single" w:color="C5D8E8" w:sz="6"/>
              <w:bottom w:val="single" w:color="C5D8E8" w:sz="6"/>
              <w:right w:val="single" w:color="C5D8E8" w:sz="6"/>
            </w:tcBorders>
            <w:shd w:fill="D0E8F5" w:val="clear"/>
            <w:tcMar>
              <w:top w:type="dxa" w:w="100"/>
              <w:left w:type="dxa" w:w="160"/>
              <w:bottom w:type="dxa" w:w="100"/>
              <w:right w:type="dxa" w:w="120"/>
            </w:tcMar>
            <w:vAlign w:val="top"/>
          </w:tcPr>
          <w:p>
            <w:r>
              <w:rPr>
                <w:rFonts w:ascii="Arial" w:cs="Arial" w:eastAsia="Arial" w:hAnsi="Arial"/>
                <w:b/>
                <w:bCs/>
                <w:color w:val="1B3A6B"/>
                <w:sz w:val="19"/>
                <w:szCs w:val="19"/>
              </w:rPr>
              <w:t xml:space="preserve">Qualifying Criteria</w:t>
            </w:r>
          </w:p>
        </w:tc>
        <w:tc>
          <w:tcPr>
            <w:tcW w:type="dxa" w:w="6560"/>
            <w:tcBorders>
              <w:top w:val="single" w:color="C5D8E8" w:sz="6"/>
              <w:left w:val="single" w:color="C5D8E8" w:sz="6"/>
              <w:bottom w:val="single" w:color="C5D8E8" w:sz="6"/>
              <w:right w:val="single" w:color="C5D8E8" w:sz="6"/>
            </w:tcBorders>
            <w:shd w:fill="FFFFFF" w:val="clear"/>
            <w:tcMar>
              <w:top w:type="dxa" w:w="100"/>
              <w:left w:type="dxa" w:w="160"/>
              <w:bottom w:type="dxa" w:w="100"/>
              <w:right w:type="dxa" w:w="120"/>
            </w:tcMar>
            <w:vAlign w:val="top"/>
          </w:tcPr>
          <w:p>
            <w:pPr>
              <w:pStyle w:val="ListParagraph"/>
              <w:numPr>
                <w:ilvl w:val="0"/>
                <w:numId w:val="3"/>
              </w:numPr>
              <w:spacing w:after="40" w:before="40"/>
            </w:pPr>
            <w:r>
              <w:rPr>
                <w:rFonts w:ascii="Arial" w:cs="Arial" w:eastAsia="Arial" w:hAnsi="Arial"/>
                <w:color w:val="1A1A1A"/>
                <w:sz w:val="20"/>
                <w:szCs w:val="20"/>
              </w:rPr>
              <w:t xml:space="preserve">The behavior contradicts an explicit, approved design decision or sprint workbook entry.</w:t>
            </w:r>
          </w:p>
          <w:p>
            <w:pPr>
              <w:pStyle w:val="ListParagraph"/>
              <w:numPr>
                <w:ilvl w:val="0"/>
                <w:numId w:val="3"/>
              </w:numPr>
              <w:spacing w:after="40" w:before="40"/>
            </w:pPr>
            <w:r>
              <w:rPr>
                <w:rFonts w:ascii="Arial" w:cs="Arial" w:eastAsia="Arial" w:hAnsi="Arial"/>
                <w:color w:val="1A1A1A"/>
                <w:sz w:val="20"/>
                <w:szCs w:val="20"/>
              </w:rPr>
              <w:t xml:space="preserve">The OOTB platform feature operates contrary to ServiceNow’s published documentation for the current licensed instance version.</w:t>
            </w:r>
          </w:p>
          <w:p>
            <w:pPr>
              <w:pStyle w:val="ListParagraph"/>
              <w:numPr>
                <w:ilvl w:val="0"/>
                <w:numId w:val="3"/>
              </w:numPr>
              <w:spacing w:after="40" w:before="40"/>
            </w:pPr>
            <w:r>
              <w:rPr>
                <w:rFonts w:ascii="Arial" w:cs="Arial" w:eastAsia="Arial" w:hAnsi="Arial"/>
                <w:color w:val="1A1A1A"/>
                <w:sz w:val="20"/>
                <w:szCs w:val="20"/>
              </w:rPr>
              <w:t xml:space="preserve">The issue is reproducible and not caused by customer environment factors (e.g., network, browser, unsupported integration).</w:t>
            </w:r>
          </w:p>
          <w:p>
            <w:pPr>
              <w:pStyle w:val="ListParagraph"/>
              <w:numPr>
                <w:ilvl w:val="0"/>
                <w:numId w:val="3"/>
              </w:numPr>
              <w:spacing w:after="40" w:before="40"/>
            </w:pPr>
            <w:r>
              <w:rPr>
                <w:rFonts w:ascii="Arial" w:cs="Arial" w:eastAsia="Arial" w:hAnsi="Arial"/>
                <w:color w:val="1A1A1A"/>
                <w:sz w:val="20"/>
                <w:szCs w:val="20"/>
              </w:rPr>
              <w:t xml:space="preserve">No approved change to scope or design has altered the expected behavior.</w:t>
            </w:r>
          </w:p>
        </w:tc>
      </w:tr>
      <w:tr>
        <w:tc>
          <w:tcPr>
            <w:tcW w:type="dxa" w:w="2800"/>
            <w:tcBorders>
              <w:top w:val="single" w:color="C5D8E8" w:sz="6"/>
              <w:left w:val="single" w:color="C5D8E8" w:sz="6"/>
              <w:bottom w:val="single" w:color="C5D8E8" w:sz="6"/>
              <w:right w:val="single" w:color="C5D8E8" w:sz="6"/>
            </w:tcBorders>
            <w:shd w:fill="D0E8F5" w:val="clear"/>
            <w:tcMar>
              <w:top w:type="dxa" w:w="100"/>
              <w:left w:type="dxa" w:w="160"/>
              <w:bottom w:type="dxa" w:w="100"/>
              <w:right w:type="dxa" w:w="120"/>
            </w:tcMar>
            <w:vAlign w:val="top"/>
          </w:tcPr>
          <w:p>
            <w:r>
              <w:rPr>
                <w:rFonts w:ascii="Arial" w:cs="Arial" w:eastAsia="Arial" w:hAnsi="Arial"/>
                <w:b/>
                <w:bCs/>
                <w:color w:val="1B3A6B"/>
                <w:sz w:val="19"/>
                <w:szCs w:val="19"/>
              </w:rPr>
              <w:t xml:space="preserve">Examples</w:t>
            </w:r>
          </w:p>
        </w:tc>
        <w:tc>
          <w:tcPr>
            <w:tcW w:type="dxa" w:w="6560"/>
            <w:tcBorders>
              <w:top w:val="single" w:color="C5D8E8" w:sz="6"/>
              <w:left w:val="single" w:color="C5D8E8" w:sz="6"/>
              <w:bottom w:val="single" w:color="C5D8E8" w:sz="6"/>
              <w:right w:val="single" w:color="C5D8E8" w:sz="6"/>
            </w:tcBorders>
            <w:shd w:fill="FFFFFF" w:val="clear"/>
            <w:tcMar>
              <w:top w:type="dxa" w:w="100"/>
              <w:left w:type="dxa" w:w="160"/>
              <w:bottom w:type="dxa" w:w="100"/>
              <w:right w:type="dxa" w:w="120"/>
            </w:tcMar>
            <w:vAlign w:val="top"/>
          </w:tcPr>
          <w:p>
            <w:pPr>
              <w:pStyle w:val="ListParagraph"/>
              <w:numPr>
                <w:ilvl w:val="0"/>
                <w:numId w:val="3"/>
              </w:numPr>
              <w:spacing w:after="40" w:before="40"/>
            </w:pPr>
            <w:r>
              <w:rPr>
                <w:rFonts w:ascii="Arial" w:cs="Arial" w:eastAsia="Arial" w:hAnsi="Arial"/>
                <w:color w:val="1A1A1A"/>
                <w:sz w:val="20"/>
                <w:szCs w:val="20"/>
              </w:rPr>
              <w:t xml:space="preserve">An assignment rule documented in the Sprint 2 Workbook does not fire for the agreed triggering condition.</w:t>
            </w:r>
          </w:p>
          <w:p>
            <w:pPr>
              <w:pStyle w:val="ListParagraph"/>
              <w:numPr>
                <w:ilvl w:val="0"/>
                <w:numId w:val="3"/>
              </w:numPr>
              <w:spacing w:after="40" w:before="40"/>
            </w:pPr>
            <w:r>
              <w:rPr>
                <w:rFonts w:ascii="Arial" w:cs="Arial" w:eastAsia="Arial" w:hAnsi="Arial"/>
                <w:color w:val="1A1A1A"/>
                <w:sz w:val="20"/>
                <w:szCs w:val="20"/>
              </w:rPr>
              <w:t xml:space="preserve">A Virtual Agent topic approved in the design returns an error on a standard conversation path.</w:t>
            </w:r>
          </w:p>
          <w:p>
            <w:pPr>
              <w:pStyle w:val="ListParagraph"/>
              <w:numPr>
                <w:ilvl w:val="0"/>
                <w:numId w:val="3"/>
              </w:numPr>
              <w:spacing w:after="40" w:before="40"/>
            </w:pPr>
            <w:r>
              <w:rPr>
                <w:rFonts w:ascii="Arial" w:cs="Arial" w:eastAsia="Arial" w:hAnsi="Arial"/>
                <w:color w:val="1A1A1A"/>
                <w:sz w:val="20"/>
                <w:szCs w:val="20"/>
              </w:rPr>
              <w:t xml:space="preserve">An SLA definition, configured per approved design, fails to apply to the correct record type.</w:t>
            </w:r>
          </w:p>
          <w:p>
            <w:pPr>
              <w:pStyle w:val="ListParagraph"/>
              <w:numPr>
                <w:ilvl w:val="0"/>
                <w:numId w:val="3"/>
              </w:numPr>
              <w:spacing w:after="40" w:before="40"/>
            </w:pPr>
            <w:r>
              <w:rPr>
                <w:rFonts w:ascii="Arial" w:cs="Arial" w:eastAsia="Arial" w:hAnsi="Arial"/>
                <w:color w:val="1A1A1A"/>
                <w:sz w:val="20"/>
                <w:szCs w:val="20"/>
              </w:rPr>
              <w:t xml:space="preserve">A Predictive Intelligence model trained on agreed data fields produces no predictions after go-live.</w:t>
            </w:r>
          </w:p>
        </w:tc>
      </w:tr>
      <w:tr>
        <w:tc>
          <w:tcPr>
            <w:tcW w:type="dxa" w:w="2800"/>
            <w:tcBorders>
              <w:top w:val="single" w:color="C5D8E8" w:sz="6"/>
              <w:left w:val="single" w:color="C5D8E8" w:sz="6"/>
              <w:bottom w:val="single" w:color="C5D8E8" w:sz="6"/>
              <w:right w:val="single" w:color="C5D8E8" w:sz="6"/>
            </w:tcBorders>
            <w:shd w:fill="D0E8F5" w:val="clear"/>
            <w:tcMar>
              <w:top w:type="dxa" w:w="100"/>
              <w:left w:type="dxa" w:w="160"/>
              <w:bottom w:type="dxa" w:w="100"/>
              <w:right w:type="dxa" w:w="120"/>
            </w:tcMar>
            <w:vAlign w:val="top"/>
          </w:tcPr>
          <w:p>
            <w:r>
              <w:rPr>
                <w:rFonts w:ascii="Arial" w:cs="Arial" w:eastAsia="Arial" w:hAnsi="Arial"/>
                <w:b/>
                <w:bCs/>
                <w:color w:val="1B3A6B"/>
                <w:sz w:val="19"/>
                <w:szCs w:val="19"/>
              </w:rPr>
              <w:t xml:space="preserve">ECS Responsibility</w:t>
            </w:r>
          </w:p>
        </w:tc>
        <w:tc>
          <w:tcPr>
            <w:tcW w:type="dxa" w:w="6560"/>
            <w:tcBorders>
              <w:top w:val="single" w:color="C5D8E8" w:sz="6"/>
              <w:left w:val="single" w:color="C5D8E8" w:sz="6"/>
              <w:bottom w:val="single" w:color="C5D8E8" w:sz="6"/>
              <w:right w:val="single" w:color="C5D8E8" w:sz="6"/>
            </w:tcBorders>
            <w:shd w:fill="FFFFFF" w:val="clear"/>
            <w:tcMar>
              <w:top w:type="dxa" w:w="100"/>
              <w:left w:type="dxa" w:w="160"/>
              <w:bottom w:type="dxa" w:w="100"/>
              <w:right w:type="dxa" w:w="120"/>
            </w:tcMar>
            <w:vAlign w:val="top"/>
          </w:tcPr>
          <w:p>
            <w:pPr>
              <w:spacing w:after="40" w:before="40"/>
            </w:pPr>
            <w:r>
              <w:rPr>
                <w:rFonts w:ascii="Arial" w:cs="Arial" w:eastAsia="Arial" w:hAnsi="Arial"/>
                <w:b w:val="false"/>
                <w:bCs w:val="false"/>
                <w:color w:val="1A1A1A"/>
                <w:sz w:val="20"/>
                <w:szCs w:val="20"/>
              </w:rPr>
              <w:t xml:space="preserve">ECS will remediate confirmed Defects at no additional cost to the Customer. Remediation timelines will be governed by the severity classification in the project’s escalation and issue management process.</w:t>
            </w:r>
          </w:p>
        </w:tc>
      </w:tr>
      <w:tr>
        <w:tc>
          <w:tcPr>
            <w:tcW w:type="dxa" w:w="2800"/>
            <w:tcBorders>
              <w:top w:val="single" w:color="C5D8E8" w:sz="6"/>
              <w:left w:val="single" w:color="C5D8E8" w:sz="6"/>
              <w:bottom w:val="single" w:color="C5D8E8" w:sz="6"/>
              <w:right w:val="single" w:color="C5D8E8" w:sz="6"/>
            </w:tcBorders>
            <w:shd w:fill="D0E8F5" w:val="clear"/>
            <w:tcMar>
              <w:top w:type="dxa" w:w="100"/>
              <w:left w:type="dxa" w:w="160"/>
              <w:bottom w:type="dxa" w:w="100"/>
              <w:right w:type="dxa" w:w="120"/>
            </w:tcMar>
            <w:vAlign w:val="top"/>
          </w:tcPr>
          <w:p>
            <w:r>
              <w:rPr>
                <w:rFonts w:ascii="Arial" w:cs="Arial" w:eastAsia="Arial" w:hAnsi="Arial"/>
                <w:b/>
                <w:bCs/>
                <w:color w:val="1B3A6B"/>
                <w:sz w:val="19"/>
                <w:szCs w:val="19"/>
              </w:rPr>
              <w:t xml:space="preserve">Customer Responsibility</w:t>
            </w:r>
          </w:p>
        </w:tc>
        <w:tc>
          <w:tcPr>
            <w:tcW w:type="dxa" w:w="6560"/>
            <w:tcBorders>
              <w:top w:val="single" w:color="C5D8E8" w:sz="6"/>
              <w:left w:val="single" w:color="C5D8E8" w:sz="6"/>
              <w:bottom w:val="single" w:color="C5D8E8" w:sz="6"/>
              <w:right w:val="single" w:color="C5D8E8" w:sz="6"/>
            </w:tcBorders>
            <w:shd w:fill="FFFFFF" w:val="clear"/>
            <w:tcMar>
              <w:top w:type="dxa" w:w="100"/>
              <w:left w:type="dxa" w:w="160"/>
              <w:bottom w:type="dxa" w:w="100"/>
              <w:right w:type="dxa" w:w="120"/>
            </w:tcMar>
            <w:vAlign w:val="top"/>
          </w:tcPr>
          <w:p>
            <w:pPr>
              <w:spacing w:after="40" w:before="40"/>
            </w:pPr>
            <w:r>
              <w:rPr>
                <w:rFonts w:ascii="Arial" w:cs="Arial" w:eastAsia="Arial" w:hAnsi="Arial"/>
                <w:b w:val="false"/>
                <w:bCs w:val="false"/>
                <w:color w:val="1A1A1A"/>
                <w:sz w:val="20"/>
                <w:szCs w:val="20"/>
              </w:rPr>
              <w:t xml:space="preserve">The Customer must submit a documented defect report with reproducible steps. ECS reserves the right to reclassify a reported Defect as an Enhancement or Missed Requirement if investigation reveals the expectation was not documented in approved design artifacts.</w:t>
            </w:r>
          </w:p>
        </w:tc>
      </w:tr>
      <w:tr>
        <w:tc>
          <w:tcPr>
            <w:tcW w:type="dxa" w:w="2800"/>
            <w:tcBorders>
              <w:top w:val="single" w:color="C5D8E8" w:sz="6"/>
              <w:left w:val="single" w:color="C5D8E8" w:sz="6"/>
              <w:bottom w:val="single" w:color="C5D8E8" w:sz="6"/>
              <w:right w:val="single" w:color="C5D8E8" w:sz="6"/>
            </w:tcBorders>
            <w:shd w:fill="D0E8F5" w:val="clear"/>
            <w:tcMar>
              <w:top w:type="dxa" w:w="100"/>
              <w:left w:type="dxa" w:w="160"/>
              <w:bottom w:type="dxa" w:w="100"/>
              <w:right w:type="dxa" w:w="120"/>
            </w:tcMar>
            <w:vAlign w:val="top"/>
          </w:tcPr>
          <w:p>
            <w:r>
              <w:rPr>
                <w:rFonts w:ascii="Arial" w:cs="Arial" w:eastAsia="Arial" w:hAnsi="Arial"/>
                <w:b/>
                <w:bCs/>
                <w:color w:val="1B3A6B"/>
                <w:sz w:val="19"/>
                <w:szCs w:val="19"/>
              </w:rPr>
              <w:t xml:space="preserve">Not a Defect if…</w:t>
            </w:r>
          </w:p>
        </w:tc>
        <w:tc>
          <w:tcPr>
            <w:tcW w:type="dxa" w:w="6560"/>
            <w:tcBorders>
              <w:top w:val="single" w:color="C5D8E8" w:sz="6"/>
              <w:left w:val="single" w:color="C5D8E8" w:sz="6"/>
              <w:bottom w:val="single" w:color="C5D8E8" w:sz="6"/>
              <w:right w:val="single" w:color="C5D8E8" w:sz="6"/>
            </w:tcBorders>
            <w:shd w:fill="FFFFFF" w:val="clear"/>
            <w:tcMar>
              <w:top w:type="dxa" w:w="100"/>
              <w:left w:type="dxa" w:w="160"/>
              <w:bottom w:type="dxa" w:w="100"/>
              <w:right w:type="dxa" w:w="120"/>
            </w:tcMar>
            <w:vAlign w:val="top"/>
          </w:tcPr>
          <w:p>
            <w:pPr>
              <w:pStyle w:val="ListParagraph"/>
              <w:numPr>
                <w:ilvl w:val="0"/>
                <w:numId w:val="3"/>
              </w:numPr>
              <w:spacing w:after="40" w:before="40"/>
            </w:pPr>
            <w:r>
              <w:rPr>
                <w:rFonts w:ascii="Arial" w:cs="Arial" w:eastAsia="Arial" w:hAnsi="Arial"/>
                <w:color w:val="1A1A1A"/>
                <w:sz w:val="20"/>
                <w:szCs w:val="20"/>
              </w:rPr>
              <w:t xml:space="preserve">The customer’s expectation was never documented in approved design artifacts.</w:t>
            </w:r>
          </w:p>
          <w:p>
            <w:pPr>
              <w:pStyle w:val="ListParagraph"/>
              <w:numPr>
                <w:ilvl w:val="0"/>
                <w:numId w:val="3"/>
              </w:numPr>
              <w:spacing w:after="40" w:before="40"/>
            </w:pPr>
            <w:r>
              <w:rPr>
                <w:rFonts w:ascii="Arial" w:cs="Arial" w:eastAsia="Arial" w:hAnsi="Arial"/>
                <w:color w:val="1A1A1A"/>
                <w:sz w:val="20"/>
                <w:szCs w:val="20"/>
              </w:rPr>
              <w:t xml:space="preserve">The request reflects a preference change from an approved decision.</w:t>
            </w:r>
          </w:p>
          <w:p>
            <w:pPr>
              <w:pStyle w:val="ListParagraph"/>
              <w:numPr>
                <w:ilvl w:val="0"/>
                <w:numId w:val="3"/>
              </w:numPr>
              <w:spacing w:after="40" w:before="40"/>
            </w:pPr>
            <w:r>
              <w:rPr>
                <w:rFonts w:ascii="Arial" w:cs="Arial" w:eastAsia="Arial" w:hAnsi="Arial"/>
                <w:color w:val="1A1A1A"/>
                <w:sz w:val="20"/>
                <w:szCs w:val="20"/>
              </w:rPr>
              <w:t xml:space="preserve">The behavior is a result of an OOTB platform limitation acknowledged during design.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00537A" w:sz="6"/>
              <w:left w:val="single" w:color="00537A" w:sz="6"/>
              <w:bottom w:val="single" w:color="00537A" w:sz="6"/>
              <w:right w:val="single" w:color="00537A" w:sz="6"/>
            </w:tcBorders>
            <w:shd w:fill="00537A"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3.2  ENHANCEMENT</w:t>
            </w:r>
          </w:p>
        </w:tc>
      </w:tr>
      <w:tr>
        <w:tc>
          <w:tcPr>
            <w:gridSpan w:val="2"/>
            <w:tcBorders>
              <w:top w:val="single" w:color="C5D8E8" w:sz="6"/>
              <w:left w:val="single" w:color="C5D8E8" w:sz="6"/>
              <w:bottom w:val="single" w:color="C5D8E8" w:sz="6"/>
              <w:right w:val="single" w:color="C5D8E8" w:sz="6"/>
            </w:tcBorders>
            <w:shd w:fill="EBF4FA" w:val="clear"/>
            <w:tcMar>
              <w:top w:type="dxa" w:w="120"/>
              <w:left w:type="dxa" w:w="200"/>
              <w:bottom w:type="dxa" w:w="120"/>
              <w:right w:type="dxa" w:w="200"/>
            </w:tcMar>
          </w:tcPr>
          <w:p>
            <w:pPr>
              <w:spacing w:after="60" w:before="0"/>
            </w:pPr>
            <w:r>
              <w:rPr>
                <w:rFonts w:ascii="Arial" w:cs="Arial" w:eastAsia="Arial" w:hAnsi="Arial"/>
                <w:b/>
                <w:bCs/>
                <w:color w:val="666666"/>
                <w:sz w:val="18"/>
                <w:szCs w:val="18"/>
              </w:rPr>
              <w:t xml:space="preserve">Definition</w:t>
            </w:r>
          </w:p>
          <w:p>
            <w:pPr>
              <w:spacing w:after="0" w:before="0"/>
            </w:pPr>
            <w:r>
              <w:rPr>
                <w:rFonts w:ascii="Arial" w:cs="Arial" w:eastAsia="Arial" w:hAnsi="Arial"/>
                <w:color w:val="1A1A1A"/>
                <w:sz w:val="20"/>
                <w:szCs w:val="20"/>
              </w:rPr>
              <w:t xml:space="preserve">An Enhancement is any request to add, expand, or modify functionality, configuration, or behavior that was not included in the agreed-upon project scope, as defined by the executed SOW, approved Sprint Workbooks, and accepted Design Decision Records. Enhancements represent new value beyond the contracted engagement.</w:t>
            </w:r>
          </w:p>
        </w:tc>
      </w:tr>
      <w:tr>
        <w:tc>
          <w:tcPr>
            <w:tcW w:type="dxa" w:w="2800"/>
            <w:tcBorders>
              <w:top w:val="single" w:color="C5D8E8" w:sz="6"/>
              <w:left w:val="single" w:color="C5D8E8" w:sz="6"/>
              <w:bottom w:val="single" w:color="C5D8E8" w:sz="6"/>
              <w:right w:val="single" w:color="C5D8E8" w:sz="6"/>
            </w:tcBorders>
            <w:shd w:fill="D0E8F5" w:val="clear"/>
            <w:tcMar>
              <w:top w:type="dxa" w:w="100"/>
              <w:left w:type="dxa" w:w="160"/>
              <w:bottom w:type="dxa" w:w="100"/>
              <w:right w:type="dxa" w:w="120"/>
            </w:tcMar>
            <w:vAlign w:val="top"/>
          </w:tcPr>
          <w:p>
            <w:r>
              <w:rPr>
                <w:rFonts w:ascii="Arial" w:cs="Arial" w:eastAsia="Arial" w:hAnsi="Arial"/>
                <w:b/>
                <w:bCs/>
                <w:color w:val="1B3A6B"/>
                <w:sz w:val="19"/>
                <w:szCs w:val="19"/>
              </w:rPr>
              <w:t xml:space="preserve">Qualifying Criteria</w:t>
            </w:r>
          </w:p>
        </w:tc>
        <w:tc>
          <w:tcPr>
            <w:tcW w:type="dxa" w:w="6560"/>
            <w:tcBorders>
              <w:top w:val="single" w:color="C5D8E8" w:sz="6"/>
              <w:left w:val="single" w:color="C5D8E8" w:sz="6"/>
              <w:bottom w:val="single" w:color="C5D8E8" w:sz="6"/>
              <w:right w:val="single" w:color="C5D8E8" w:sz="6"/>
            </w:tcBorders>
            <w:shd w:fill="FFFFFF" w:val="clear"/>
            <w:tcMar>
              <w:top w:type="dxa" w:w="100"/>
              <w:left w:type="dxa" w:w="160"/>
              <w:bottom w:type="dxa" w:w="100"/>
              <w:right w:type="dxa" w:w="120"/>
            </w:tcMar>
            <w:vAlign w:val="top"/>
          </w:tcPr>
          <w:p>
            <w:pPr>
              <w:pStyle w:val="ListParagraph"/>
              <w:numPr>
                <w:ilvl w:val="0"/>
                <w:numId w:val="3"/>
              </w:numPr>
              <w:spacing w:after="40" w:before="40"/>
            </w:pPr>
            <w:r>
              <w:rPr>
                <w:rFonts w:ascii="Arial" w:cs="Arial" w:eastAsia="Arial" w:hAnsi="Arial"/>
                <w:color w:val="1A1A1A"/>
                <w:sz w:val="20"/>
                <w:szCs w:val="20"/>
              </w:rPr>
              <w:t xml:space="preserve">The requested feature, field, workflow step, automation, or report was not described or implied in the SOW or design documentation.</w:t>
            </w:r>
          </w:p>
          <w:p>
            <w:pPr>
              <w:pStyle w:val="ListParagraph"/>
              <w:numPr>
                <w:ilvl w:val="0"/>
                <w:numId w:val="3"/>
              </w:numPr>
              <w:spacing w:after="40" w:before="40"/>
            </w:pPr>
            <w:r>
              <w:rPr>
                <w:rFonts w:ascii="Arial" w:cs="Arial" w:eastAsia="Arial" w:hAnsi="Arial"/>
                <w:color w:val="1A1A1A"/>
                <w:sz w:val="20"/>
                <w:szCs w:val="20"/>
              </w:rPr>
              <w:t xml:space="preserve">The Customer or stakeholder has changed their mind on a previously approved design decision.</w:t>
            </w:r>
          </w:p>
          <w:p>
            <w:pPr>
              <w:pStyle w:val="ListParagraph"/>
              <w:numPr>
                <w:ilvl w:val="0"/>
                <w:numId w:val="3"/>
              </w:numPr>
              <w:spacing w:after="40" w:before="40"/>
            </w:pPr>
            <w:r>
              <w:rPr>
                <w:rFonts w:ascii="Arial" w:cs="Arial" w:eastAsia="Arial" w:hAnsi="Arial"/>
                <w:color w:val="1A1A1A"/>
                <w:sz w:val="20"/>
                <w:szCs w:val="20"/>
              </w:rPr>
              <w:t xml:space="preserve">A new integration, data source, or system dependency is introduced after scoping.</w:t>
            </w:r>
          </w:p>
          <w:p>
            <w:pPr>
              <w:pStyle w:val="ListParagraph"/>
              <w:numPr>
                <w:ilvl w:val="0"/>
                <w:numId w:val="3"/>
              </w:numPr>
              <w:spacing w:after="40" w:before="40"/>
            </w:pPr>
            <w:r>
              <w:rPr>
                <w:rFonts w:ascii="Arial" w:cs="Arial" w:eastAsia="Arial" w:hAnsi="Arial"/>
                <w:color w:val="1A1A1A"/>
                <w:sz w:val="20"/>
                <w:szCs w:val="20"/>
              </w:rPr>
              <w:t xml:space="preserve">The request increases the complexity, effort, or duration of a workstream beyond what was planned.</w:t>
            </w:r>
          </w:p>
        </w:tc>
      </w:tr>
      <w:tr>
        <w:tc>
          <w:tcPr>
            <w:tcW w:type="dxa" w:w="2800"/>
            <w:tcBorders>
              <w:top w:val="single" w:color="C5D8E8" w:sz="6"/>
              <w:left w:val="single" w:color="C5D8E8" w:sz="6"/>
              <w:bottom w:val="single" w:color="C5D8E8" w:sz="6"/>
              <w:right w:val="single" w:color="C5D8E8" w:sz="6"/>
            </w:tcBorders>
            <w:shd w:fill="D0E8F5" w:val="clear"/>
            <w:tcMar>
              <w:top w:type="dxa" w:w="100"/>
              <w:left w:type="dxa" w:w="160"/>
              <w:bottom w:type="dxa" w:w="100"/>
              <w:right w:type="dxa" w:w="120"/>
            </w:tcMar>
            <w:vAlign w:val="top"/>
          </w:tcPr>
          <w:p>
            <w:r>
              <w:rPr>
                <w:rFonts w:ascii="Arial" w:cs="Arial" w:eastAsia="Arial" w:hAnsi="Arial"/>
                <w:b/>
                <w:bCs/>
                <w:color w:val="1B3A6B"/>
                <w:sz w:val="19"/>
                <w:szCs w:val="19"/>
              </w:rPr>
              <w:t xml:space="preserve">Examples</w:t>
            </w:r>
          </w:p>
        </w:tc>
        <w:tc>
          <w:tcPr>
            <w:tcW w:type="dxa" w:w="6560"/>
            <w:tcBorders>
              <w:top w:val="single" w:color="C5D8E8" w:sz="6"/>
              <w:left w:val="single" w:color="C5D8E8" w:sz="6"/>
              <w:bottom w:val="single" w:color="C5D8E8" w:sz="6"/>
              <w:right w:val="single" w:color="C5D8E8" w:sz="6"/>
            </w:tcBorders>
            <w:shd w:fill="FFFFFF" w:val="clear"/>
            <w:tcMar>
              <w:top w:type="dxa" w:w="100"/>
              <w:left w:type="dxa" w:w="160"/>
              <w:bottom w:type="dxa" w:w="100"/>
              <w:right w:type="dxa" w:w="120"/>
            </w:tcMar>
            <w:vAlign w:val="top"/>
          </w:tcPr>
          <w:p>
            <w:pPr>
              <w:pStyle w:val="ListParagraph"/>
              <w:numPr>
                <w:ilvl w:val="0"/>
                <w:numId w:val="3"/>
              </w:numPr>
              <w:spacing w:after="40" w:before="40"/>
            </w:pPr>
            <w:r>
              <w:rPr>
                <w:rFonts w:ascii="Arial" w:cs="Arial" w:eastAsia="Arial" w:hAnsi="Arial"/>
                <w:color w:val="1A1A1A"/>
                <w:sz w:val="20"/>
                <w:szCs w:val="20"/>
              </w:rPr>
              <w:t xml:space="preserve">After approving a three-state incident lifecycle, the customer requests a fourth “Pending Vendor” state.</w:t>
            </w:r>
          </w:p>
          <w:p>
            <w:pPr>
              <w:pStyle w:val="ListParagraph"/>
              <w:numPr>
                <w:ilvl w:val="0"/>
                <w:numId w:val="3"/>
              </w:numPr>
              <w:spacing w:after="40" w:before="40"/>
            </w:pPr>
            <w:r>
              <w:rPr>
                <w:rFonts w:ascii="Arial" w:cs="Arial" w:eastAsia="Arial" w:hAnsi="Arial"/>
                <w:color w:val="1A1A1A"/>
                <w:sz w:val="20"/>
                <w:szCs w:val="20"/>
              </w:rPr>
              <w:t xml:space="preserve">A new approval workflow is requested for a catalog item that was scoped without approvals.</w:t>
            </w:r>
          </w:p>
          <w:p>
            <w:pPr>
              <w:pStyle w:val="ListParagraph"/>
              <w:numPr>
                <w:ilvl w:val="0"/>
                <w:numId w:val="3"/>
              </w:numPr>
              <w:spacing w:after="40" w:before="40"/>
            </w:pPr>
            <w:r>
              <w:rPr>
                <w:rFonts w:ascii="Arial" w:cs="Arial" w:eastAsia="Arial" w:hAnsi="Arial"/>
                <w:color w:val="1A1A1A"/>
                <w:sz w:val="20"/>
                <w:szCs w:val="20"/>
              </w:rPr>
              <w:t xml:space="preserve">The customer requests integration with a third-party ITSM tool not mentioned in the SOW.</w:t>
            </w:r>
          </w:p>
          <w:p>
            <w:pPr>
              <w:pStyle w:val="ListParagraph"/>
              <w:numPr>
                <w:ilvl w:val="0"/>
                <w:numId w:val="3"/>
              </w:numPr>
              <w:spacing w:after="40" w:before="40"/>
            </w:pPr>
            <w:r>
              <w:rPr>
                <w:rFonts w:ascii="Arial" w:cs="Arial" w:eastAsia="Arial" w:hAnsi="Arial"/>
                <w:color w:val="1A1A1A"/>
                <w:sz w:val="20"/>
                <w:szCs w:val="20"/>
              </w:rPr>
              <w:t xml:space="preserve">Additional Virtual Agent topics are requested beyond the agreed topic count or list.</w:t>
            </w:r>
          </w:p>
          <w:p>
            <w:pPr>
              <w:pStyle w:val="ListParagraph"/>
              <w:numPr>
                <w:ilvl w:val="0"/>
                <w:numId w:val="3"/>
              </w:numPr>
              <w:spacing w:after="40" w:before="40"/>
            </w:pPr>
            <w:r>
              <w:rPr>
                <w:rFonts w:ascii="Arial" w:cs="Arial" w:eastAsia="Arial" w:hAnsi="Arial"/>
                <w:color w:val="1A1A1A"/>
                <w:sz w:val="20"/>
                <w:szCs w:val="20"/>
              </w:rPr>
              <w:t xml:space="preserve">A custom report or dashboard is requested that was not included in the reporting scope.</w:t>
            </w:r>
          </w:p>
        </w:tc>
      </w:tr>
      <w:tr>
        <w:tc>
          <w:tcPr>
            <w:tcW w:type="dxa" w:w="2800"/>
            <w:tcBorders>
              <w:top w:val="single" w:color="C5D8E8" w:sz="6"/>
              <w:left w:val="single" w:color="C5D8E8" w:sz="6"/>
              <w:bottom w:val="single" w:color="C5D8E8" w:sz="6"/>
              <w:right w:val="single" w:color="C5D8E8" w:sz="6"/>
            </w:tcBorders>
            <w:shd w:fill="D0E8F5" w:val="clear"/>
            <w:tcMar>
              <w:top w:type="dxa" w:w="100"/>
              <w:left w:type="dxa" w:w="160"/>
              <w:bottom w:type="dxa" w:w="100"/>
              <w:right w:type="dxa" w:w="120"/>
            </w:tcMar>
            <w:vAlign w:val="top"/>
          </w:tcPr>
          <w:p>
            <w:r>
              <w:rPr>
                <w:rFonts w:ascii="Arial" w:cs="Arial" w:eastAsia="Arial" w:hAnsi="Arial"/>
                <w:b/>
                <w:bCs/>
                <w:color w:val="1B3A6B"/>
                <w:sz w:val="19"/>
                <w:szCs w:val="19"/>
              </w:rPr>
              <w:t xml:space="preserve">ECS Responsibility</w:t>
            </w:r>
          </w:p>
        </w:tc>
        <w:tc>
          <w:tcPr>
            <w:tcW w:type="dxa" w:w="6560"/>
            <w:tcBorders>
              <w:top w:val="single" w:color="C5D8E8" w:sz="6"/>
              <w:left w:val="single" w:color="C5D8E8" w:sz="6"/>
              <w:bottom w:val="single" w:color="C5D8E8" w:sz="6"/>
              <w:right w:val="single" w:color="C5D8E8" w:sz="6"/>
            </w:tcBorders>
            <w:shd w:fill="FFFFFF" w:val="clear"/>
            <w:tcMar>
              <w:top w:type="dxa" w:w="100"/>
              <w:left w:type="dxa" w:w="160"/>
              <w:bottom w:type="dxa" w:w="100"/>
              <w:right w:type="dxa" w:w="120"/>
            </w:tcMar>
            <w:vAlign w:val="top"/>
          </w:tcPr>
          <w:p>
            <w:pPr>
              <w:spacing w:after="40" w:before="40"/>
            </w:pPr>
            <w:r>
              <w:rPr>
                <w:rFonts w:ascii="Arial" w:cs="Arial" w:eastAsia="Arial" w:hAnsi="Arial"/>
                <w:b w:val="false"/>
                <w:bCs w:val="false"/>
                <w:color w:val="1A1A1A"/>
                <w:sz w:val="20"/>
                <w:szCs w:val="20"/>
              </w:rPr>
              <w:t xml:space="preserve">ECS will evaluate the Enhancement request, provide an estimate of effort and cost, and present a formal Change Order for Customer approval. Work will not begin until a signed Change Order is in place.</w:t>
            </w:r>
          </w:p>
        </w:tc>
      </w:tr>
      <w:tr>
        <w:tc>
          <w:tcPr>
            <w:tcW w:type="dxa" w:w="2800"/>
            <w:tcBorders>
              <w:top w:val="single" w:color="C5D8E8" w:sz="6"/>
              <w:left w:val="single" w:color="C5D8E8" w:sz="6"/>
              <w:bottom w:val="single" w:color="C5D8E8" w:sz="6"/>
              <w:right w:val="single" w:color="C5D8E8" w:sz="6"/>
            </w:tcBorders>
            <w:shd w:fill="D0E8F5" w:val="clear"/>
            <w:tcMar>
              <w:top w:type="dxa" w:w="100"/>
              <w:left w:type="dxa" w:w="160"/>
              <w:bottom w:type="dxa" w:w="100"/>
              <w:right w:type="dxa" w:w="120"/>
            </w:tcMar>
            <w:vAlign w:val="top"/>
          </w:tcPr>
          <w:p>
            <w:r>
              <w:rPr>
                <w:rFonts w:ascii="Arial" w:cs="Arial" w:eastAsia="Arial" w:hAnsi="Arial"/>
                <w:b/>
                <w:bCs/>
                <w:color w:val="1B3A6B"/>
                <w:sz w:val="19"/>
                <w:szCs w:val="19"/>
              </w:rPr>
              <w:t xml:space="preserve">Customer Responsibility</w:t>
            </w:r>
          </w:p>
        </w:tc>
        <w:tc>
          <w:tcPr>
            <w:tcW w:type="dxa" w:w="6560"/>
            <w:tcBorders>
              <w:top w:val="single" w:color="C5D8E8" w:sz="6"/>
              <w:left w:val="single" w:color="C5D8E8" w:sz="6"/>
              <w:bottom w:val="single" w:color="C5D8E8" w:sz="6"/>
              <w:right w:val="single" w:color="C5D8E8" w:sz="6"/>
            </w:tcBorders>
            <w:shd w:fill="FFFFFF" w:val="clear"/>
            <w:tcMar>
              <w:top w:type="dxa" w:w="100"/>
              <w:left w:type="dxa" w:w="160"/>
              <w:bottom w:type="dxa" w:w="100"/>
              <w:right w:type="dxa" w:w="120"/>
            </w:tcMar>
            <w:vAlign w:val="top"/>
          </w:tcPr>
          <w:p>
            <w:pPr>
              <w:spacing w:after="40" w:before="40"/>
            </w:pPr>
            <w:r>
              <w:rPr>
                <w:rFonts w:ascii="Arial" w:cs="Arial" w:eastAsia="Arial" w:hAnsi="Arial"/>
                <w:b w:val="false"/>
                <w:bCs w:val="false"/>
                <w:color w:val="1A1A1A"/>
                <w:sz w:val="20"/>
                <w:szCs w:val="20"/>
              </w:rPr>
              <w:t xml:space="preserve">The Customer Sponsor must formally request the Enhancement in writing. Verbal requests or informal communications do not initiate the Enhancement process. The Customer acknowledges that Enhancement requests may impact project timeline and budget.</w:t>
            </w:r>
          </w:p>
        </w:tc>
      </w:tr>
      <w:tr>
        <w:tc>
          <w:tcPr>
            <w:tcW w:type="dxa" w:w="2800"/>
            <w:tcBorders>
              <w:top w:val="single" w:color="C5D8E8" w:sz="6"/>
              <w:left w:val="single" w:color="C5D8E8" w:sz="6"/>
              <w:bottom w:val="single" w:color="C5D8E8" w:sz="6"/>
              <w:right w:val="single" w:color="C5D8E8" w:sz="6"/>
            </w:tcBorders>
            <w:shd w:fill="D0E8F5" w:val="clear"/>
            <w:tcMar>
              <w:top w:type="dxa" w:w="100"/>
              <w:left w:type="dxa" w:w="160"/>
              <w:bottom w:type="dxa" w:w="100"/>
              <w:right w:type="dxa" w:w="120"/>
            </w:tcMar>
            <w:vAlign w:val="top"/>
          </w:tcPr>
          <w:p>
            <w:r>
              <w:rPr>
                <w:rFonts w:ascii="Arial" w:cs="Arial" w:eastAsia="Arial" w:hAnsi="Arial"/>
                <w:b/>
                <w:bCs/>
                <w:color w:val="1B3A6B"/>
                <w:sz w:val="19"/>
                <w:szCs w:val="19"/>
              </w:rPr>
              <w:t xml:space="preserve">Not an Enhancement if…</w:t>
            </w:r>
          </w:p>
        </w:tc>
        <w:tc>
          <w:tcPr>
            <w:tcW w:type="dxa" w:w="6560"/>
            <w:tcBorders>
              <w:top w:val="single" w:color="C5D8E8" w:sz="6"/>
              <w:left w:val="single" w:color="C5D8E8" w:sz="6"/>
              <w:bottom w:val="single" w:color="C5D8E8" w:sz="6"/>
              <w:right w:val="single" w:color="C5D8E8" w:sz="6"/>
            </w:tcBorders>
            <w:shd w:fill="FFFFFF" w:val="clear"/>
            <w:tcMar>
              <w:top w:type="dxa" w:w="100"/>
              <w:left w:type="dxa" w:w="160"/>
              <w:bottom w:type="dxa" w:w="100"/>
              <w:right w:type="dxa" w:w="120"/>
            </w:tcMar>
            <w:vAlign w:val="top"/>
          </w:tcPr>
          <w:p>
            <w:pPr>
              <w:pStyle w:val="ListParagraph"/>
              <w:numPr>
                <w:ilvl w:val="0"/>
                <w:numId w:val="3"/>
              </w:numPr>
              <w:spacing w:after="40" w:before="40"/>
            </w:pPr>
            <w:r>
              <w:rPr>
                <w:rFonts w:ascii="Arial" w:cs="Arial" w:eastAsia="Arial" w:hAnsi="Arial"/>
                <w:color w:val="1A1A1A"/>
                <w:sz w:val="20"/>
                <w:szCs w:val="20"/>
              </w:rPr>
              <w:t xml:space="preserve">The request corrects a Defect against agreed design documentation.</w:t>
            </w:r>
          </w:p>
          <w:p>
            <w:pPr>
              <w:pStyle w:val="ListParagraph"/>
              <w:numPr>
                <w:ilvl w:val="0"/>
                <w:numId w:val="3"/>
              </w:numPr>
              <w:spacing w:after="40" w:before="40"/>
            </w:pPr>
            <w:r>
              <w:rPr>
                <w:rFonts w:ascii="Arial" w:cs="Arial" w:eastAsia="Arial" w:hAnsi="Arial"/>
                <w:color w:val="1A1A1A"/>
                <w:sz w:val="20"/>
                <w:szCs w:val="20"/>
              </w:rPr>
              <w:t xml:space="preserve">The request addresses a functional need that was clearly implied by the SOW scope but accidentally omitted from documentation (see Missed Requirement).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6B3A1B" w:sz="6"/>
              <w:left w:val="single" w:color="6B3A1B" w:sz="6"/>
              <w:bottom w:val="single" w:color="6B3A1B" w:sz="6"/>
              <w:right w:val="single" w:color="6B3A1B" w:sz="6"/>
            </w:tcBorders>
            <w:shd w:fill="6B3A1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3.3  MISSED REQUIREMENT</w:t>
            </w:r>
          </w:p>
        </w:tc>
      </w:tr>
      <w:tr>
        <w:tc>
          <w:tcPr>
            <w:gridSpan w:val="2"/>
            <w:tcBorders>
              <w:top w:val="single" w:color="C5D8E8" w:sz="6"/>
              <w:left w:val="single" w:color="C5D8E8" w:sz="6"/>
              <w:bottom w:val="single" w:color="C5D8E8" w:sz="6"/>
              <w:right w:val="single" w:color="C5D8E8" w:sz="6"/>
            </w:tcBorders>
            <w:shd w:fill="EBF4FA" w:val="clear"/>
            <w:tcMar>
              <w:top w:type="dxa" w:w="120"/>
              <w:left w:type="dxa" w:w="200"/>
              <w:bottom w:type="dxa" w:w="120"/>
              <w:right w:type="dxa" w:w="200"/>
            </w:tcMar>
          </w:tcPr>
          <w:p>
            <w:pPr>
              <w:spacing w:after="60" w:before="0"/>
            </w:pPr>
            <w:r>
              <w:rPr>
                <w:rFonts w:ascii="Arial" w:cs="Arial" w:eastAsia="Arial" w:hAnsi="Arial"/>
                <w:b/>
                <w:bCs/>
                <w:color w:val="666666"/>
                <w:sz w:val="18"/>
                <w:szCs w:val="18"/>
              </w:rPr>
              <w:t xml:space="preserve">Definition</w:t>
            </w:r>
          </w:p>
          <w:p>
            <w:pPr>
              <w:spacing w:after="0" w:before="0"/>
            </w:pPr>
            <w:r>
              <w:rPr>
                <w:rFonts w:ascii="Arial" w:cs="Arial" w:eastAsia="Arial" w:hAnsi="Arial"/>
                <w:color w:val="1A1A1A"/>
                <w:sz w:val="20"/>
                <w:szCs w:val="20"/>
              </w:rPr>
              <w:t xml:space="preserve">A Missed Requirement is a functional need that was not captured during the scoping, discovery, or Sprint 0 process, is not represented in the executed SOW or approved design documentation, and is identified after delivery has begun. Unlike an Enhancement, a Missed Requirement reflects an omission rather than a change in desire — the Customer needed this outcome from the beginning but it was not surfaced or documented.</w:t>
            </w:r>
          </w:p>
        </w:tc>
      </w:tr>
      <w:tr>
        <w:tc>
          <w:tcPr>
            <w:tcW w:type="dxa" w:w="2800"/>
            <w:tcBorders>
              <w:top w:val="single" w:color="C5D8E8" w:sz="6"/>
              <w:left w:val="single" w:color="C5D8E8" w:sz="6"/>
              <w:bottom w:val="single" w:color="C5D8E8" w:sz="6"/>
              <w:right w:val="single" w:color="C5D8E8" w:sz="6"/>
            </w:tcBorders>
            <w:shd w:fill="D0E8F5" w:val="clear"/>
            <w:tcMar>
              <w:top w:type="dxa" w:w="100"/>
              <w:left w:type="dxa" w:w="160"/>
              <w:bottom w:type="dxa" w:w="100"/>
              <w:right w:type="dxa" w:w="120"/>
            </w:tcMar>
            <w:vAlign w:val="top"/>
          </w:tcPr>
          <w:p>
            <w:r>
              <w:rPr>
                <w:rFonts w:ascii="Arial" w:cs="Arial" w:eastAsia="Arial" w:hAnsi="Arial"/>
                <w:b/>
                <w:bCs/>
                <w:color w:val="1B3A6B"/>
                <w:sz w:val="19"/>
                <w:szCs w:val="19"/>
              </w:rPr>
              <w:t xml:space="preserve">Qualifying Criteria</w:t>
            </w:r>
          </w:p>
        </w:tc>
        <w:tc>
          <w:tcPr>
            <w:tcW w:type="dxa" w:w="6560"/>
            <w:tcBorders>
              <w:top w:val="single" w:color="C5D8E8" w:sz="6"/>
              <w:left w:val="single" w:color="C5D8E8" w:sz="6"/>
              <w:bottom w:val="single" w:color="C5D8E8" w:sz="6"/>
              <w:right w:val="single" w:color="C5D8E8" w:sz="6"/>
            </w:tcBorders>
            <w:shd w:fill="FFFFFF" w:val="clear"/>
            <w:tcMar>
              <w:top w:type="dxa" w:w="100"/>
              <w:left w:type="dxa" w:w="160"/>
              <w:bottom w:type="dxa" w:w="100"/>
              <w:right w:type="dxa" w:w="120"/>
            </w:tcMar>
            <w:vAlign w:val="top"/>
          </w:tcPr>
          <w:p>
            <w:pPr>
              <w:pStyle w:val="ListParagraph"/>
              <w:numPr>
                <w:ilvl w:val="0"/>
                <w:numId w:val="3"/>
              </w:numPr>
              <w:spacing w:after="40" w:before="40"/>
            </w:pPr>
            <w:r>
              <w:rPr>
                <w:rFonts w:ascii="Arial" w:cs="Arial" w:eastAsia="Arial" w:hAnsi="Arial"/>
                <w:color w:val="1A1A1A"/>
                <w:sz w:val="20"/>
                <w:szCs w:val="20"/>
              </w:rPr>
              <w:t xml:space="preserve">The requirement is core to a process that was in-scope but the specific need was not documented.</w:t>
            </w:r>
          </w:p>
          <w:p>
            <w:pPr>
              <w:pStyle w:val="ListParagraph"/>
              <w:numPr>
                <w:ilvl w:val="0"/>
                <w:numId w:val="3"/>
              </w:numPr>
              <w:spacing w:after="40" w:before="40"/>
            </w:pPr>
            <w:r>
              <w:rPr>
                <w:rFonts w:ascii="Arial" w:cs="Arial" w:eastAsia="Arial" w:hAnsi="Arial"/>
                <w:color w:val="1A1A1A"/>
                <w:sz w:val="20"/>
                <w:szCs w:val="20"/>
              </w:rPr>
              <w:t xml:space="preserve">Neither ECS nor the Customer raised the requirement during discovery, workshops, or Sprint 0.</w:t>
            </w:r>
          </w:p>
          <w:p>
            <w:pPr>
              <w:pStyle w:val="ListParagraph"/>
              <w:numPr>
                <w:ilvl w:val="0"/>
                <w:numId w:val="3"/>
              </w:numPr>
              <w:spacing w:after="40" w:before="40"/>
            </w:pPr>
            <w:r>
              <w:rPr>
                <w:rFonts w:ascii="Arial" w:cs="Arial" w:eastAsia="Arial" w:hAnsi="Arial"/>
                <w:color w:val="1A1A1A"/>
                <w:sz w:val="20"/>
                <w:szCs w:val="20"/>
              </w:rPr>
              <w:t xml:space="preserve">The requirement does not reflect a new desire or preference change, but an oversight by either or both parties.</w:t>
            </w:r>
          </w:p>
          <w:p>
            <w:pPr>
              <w:pStyle w:val="ListParagraph"/>
              <w:numPr>
                <w:ilvl w:val="0"/>
                <w:numId w:val="3"/>
              </w:numPr>
              <w:spacing w:after="40" w:before="40"/>
            </w:pPr>
            <w:r>
              <w:rPr>
                <w:rFonts w:ascii="Arial" w:cs="Arial" w:eastAsia="Arial" w:hAnsi="Arial"/>
                <w:color w:val="1A1A1A"/>
                <w:sz w:val="20"/>
                <w:szCs w:val="20"/>
              </w:rPr>
              <w:t xml:space="preserve">Delivery of the agreed scope without this requirement would leave the process functionally incomplete.</w:t>
            </w:r>
          </w:p>
        </w:tc>
      </w:tr>
      <w:tr>
        <w:tc>
          <w:tcPr>
            <w:tcW w:type="dxa" w:w="2800"/>
            <w:tcBorders>
              <w:top w:val="single" w:color="C5D8E8" w:sz="6"/>
              <w:left w:val="single" w:color="C5D8E8" w:sz="6"/>
              <w:bottom w:val="single" w:color="C5D8E8" w:sz="6"/>
              <w:right w:val="single" w:color="C5D8E8" w:sz="6"/>
            </w:tcBorders>
            <w:shd w:fill="D0E8F5" w:val="clear"/>
            <w:tcMar>
              <w:top w:type="dxa" w:w="100"/>
              <w:left w:type="dxa" w:w="160"/>
              <w:bottom w:type="dxa" w:w="100"/>
              <w:right w:type="dxa" w:w="120"/>
            </w:tcMar>
            <w:vAlign w:val="top"/>
          </w:tcPr>
          <w:p>
            <w:r>
              <w:rPr>
                <w:rFonts w:ascii="Arial" w:cs="Arial" w:eastAsia="Arial" w:hAnsi="Arial"/>
                <w:b/>
                <w:bCs/>
                <w:color w:val="1B3A6B"/>
                <w:sz w:val="19"/>
                <w:szCs w:val="19"/>
              </w:rPr>
              <w:t xml:space="preserve">Examples</w:t>
            </w:r>
          </w:p>
        </w:tc>
        <w:tc>
          <w:tcPr>
            <w:tcW w:type="dxa" w:w="6560"/>
            <w:tcBorders>
              <w:top w:val="single" w:color="C5D8E8" w:sz="6"/>
              <w:left w:val="single" w:color="C5D8E8" w:sz="6"/>
              <w:bottom w:val="single" w:color="C5D8E8" w:sz="6"/>
              <w:right w:val="single" w:color="C5D8E8" w:sz="6"/>
            </w:tcBorders>
            <w:shd w:fill="FFFFFF" w:val="clear"/>
            <w:tcMar>
              <w:top w:type="dxa" w:w="100"/>
              <w:left w:type="dxa" w:w="160"/>
              <w:bottom w:type="dxa" w:w="100"/>
              <w:right w:type="dxa" w:w="120"/>
            </w:tcMar>
            <w:vAlign w:val="top"/>
          </w:tcPr>
          <w:p>
            <w:pPr>
              <w:pStyle w:val="ListParagraph"/>
              <w:numPr>
                <w:ilvl w:val="0"/>
                <w:numId w:val="3"/>
              </w:numPr>
              <w:spacing w:after="40" w:before="40"/>
            </w:pPr>
            <w:r>
              <w:rPr>
                <w:rFonts w:ascii="Arial" w:cs="Arial" w:eastAsia="Arial" w:hAnsi="Arial"/>
                <w:color w:val="1A1A1A"/>
                <w:sz w:val="20"/>
                <w:szCs w:val="20"/>
              </w:rPr>
              <w:t xml:space="preserve">An incident assignment group was in scope but the escalation path to a secondary group was never discussed or documented.</w:t>
            </w:r>
          </w:p>
          <w:p>
            <w:pPr>
              <w:pStyle w:val="ListParagraph"/>
              <w:numPr>
                <w:ilvl w:val="0"/>
                <w:numId w:val="3"/>
              </w:numPr>
              <w:spacing w:after="40" w:before="40"/>
            </w:pPr>
            <w:r>
              <w:rPr>
                <w:rFonts w:ascii="Arial" w:cs="Arial" w:eastAsia="Arial" w:hAnsi="Arial"/>
                <w:color w:val="1A1A1A"/>
                <w:sz w:val="20"/>
                <w:szCs w:val="20"/>
              </w:rPr>
              <w:t xml:space="preserve">A catalog item was scoped for fulfillment but the notification to the fulfiller was not documented and not configured.</w:t>
            </w:r>
          </w:p>
          <w:p>
            <w:pPr>
              <w:pStyle w:val="ListParagraph"/>
              <w:numPr>
                <w:ilvl w:val="0"/>
                <w:numId w:val="3"/>
              </w:numPr>
              <w:spacing w:after="40" w:before="40"/>
            </w:pPr>
            <w:r>
              <w:rPr>
                <w:rFonts w:ascii="Arial" w:cs="Arial" w:eastAsia="Arial" w:hAnsi="Arial"/>
                <w:color w:val="1A1A1A"/>
                <w:sz w:val="20"/>
                <w:szCs w:val="20"/>
              </w:rPr>
              <w:t xml:space="preserve">The CMDB class model was approved but a critical CI relationship type was not included in any discovery conversation.</w:t>
            </w:r>
          </w:p>
        </w:tc>
      </w:tr>
      <w:tr>
        <w:tc>
          <w:tcPr>
            <w:tcW w:type="dxa" w:w="2800"/>
            <w:tcBorders>
              <w:top w:val="single" w:color="C5D8E8" w:sz="6"/>
              <w:left w:val="single" w:color="C5D8E8" w:sz="6"/>
              <w:bottom w:val="single" w:color="C5D8E8" w:sz="6"/>
              <w:right w:val="single" w:color="C5D8E8" w:sz="6"/>
            </w:tcBorders>
            <w:shd w:fill="D0E8F5" w:val="clear"/>
            <w:tcMar>
              <w:top w:type="dxa" w:w="100"/>
              <w:left w:type="dxa" w:w="160"/>
              <w:bottom w:type="dxa" w:w="100"/>
              <w:right w:type="dxa" w:w="120"/>
            </w:tcMar>
            <w:vAlign w:val="top"/>
          </w:tcPr>
          <w:p>
            <w:r>
              <w:rPr>
                <w:rFonts w:ascii="Arial" w:cs="Arial" w:eastAsia="Arial" w:hAnsi="Arial"/>
                <w:b/>
                <w:bCs/>
                <w:color w:val="1B3A6B"/>
                <w:sz w:val="19"/>
                <w:szCs w:val="19"/>
              </w:rPr>
              <w:t xml:space="preserve">Accountability Framework</w:t>
            </w:r>
          </w:p>
        </w:tc>
        <w:tc>
          <w:tcPr>
            <w:tcW w:type="dxa" w:w="6560"/>
            <w:tcBorders>
              <w:top w:val="single" w:color="C5D8E8" w:sz="6"/>
              <w:left w:val="single" w:color="C5D8E8" w:sz="6"/>
              <w:bottom w:val="single" w:color="C5D8E8" w:sz="6"/>
              <w:right w:val="single" w:color="C5D8E8" w:sz="6"/>
            </w:tcBorders>
            <w:shd w:fill="FFFFFF" w:val="clear"/>
            <w:tcMar>
              <w:top w:type="dxa" w:w="100"/>
              <w:left w:type="dxa" w:w="160"/>
              <w:bottom w:type="dxa" w:w="100"/>
              <w:right w:type="dxa" w:w="120"/>
            </w:tcMar>
            <w:vAlign w:val="top"/>
          </w:tcPr>
          <w:p>
            <w:pPr>
              <w:spacing w:after="40" w:before="40"/>
            </w:pPr>
            <w:r>
              <w:rPr>
                <w:rFonts w:ascii="Arial" w:cs="Arial" w:eastAsia="Arial" w:hAnsi="Arial"/>
                <w:b w:val="false"/>
                <w:bCs w:val="false"/>
                <w:color w:val="1A1A1A"/>
                <w:sz w:val="20"/>
                <w:szCs w:val="20"/>
              </w:rPr>
              <w:t xml:space="preserve">Missed Requirements are evaluated on a case-by-case basis using the following factors:</w:t>
            </w:r>
          </w:p>
          <w:p>
            <w:pPr>
              <w:pStyle w:val="ListParagraph"/>
              <w:numPr>
                <w:ilvl w:val="0"/>
                <w:numId w:val="3"/>
              </w:numPr>
              <w:spacing w:after="40" w:before="40"/>
            </w:pPr>
            <w:r>
              <w:rPr>
                <w:rFonts w:ascii="Arial" w:cs="Arial" w:eastAsia="Arial" w:hAnsi="Arial"/>
                <w:color w:val="1A1A1A"/>
                <w:sz w:val="20"/>
                <w:szCs w:val="20"/>
              </w:rPr>
              <w:t xml:space="preserve">Discovery ownership: Was the requirement within ECS’s responsibility to surface, or the Customer’s?</w:t>
            </w:r>
          </w:p>
          <w:p>
            <w:pPr>
              <w:pStyle w:val="ListParagraph"/>
              <w:numPr>
                <w:ilvl w:val="0"/>
                <w:numId w:val="3"/>
              </w:numPr>
              <w:spacing w:after="40" w:before="40"/>
            </w:pPr>
            <w:r>
              <w:rPr>
                <w:rFonts w:ascii="Arial" w:cs="Arial" w:eastAsia="Arial" w:hAnsi="Arial"/>
                <w:color w:val="1A1A1A"/>
                <w:sz w:val="20"/>
                <w:szCs w:val="20"/>
              </w:rPr>
              <w:t xml:space="preserve">Documentation gap: Did ECS’s design artifacts fail to capture something that was discussed?</w:t>
            </w:r>
          </w:p>
          <w:p>
            <w:pPr>
              <w:pStyle w:val="ListParagraph"/>
              <w:numPr>
                <w:ilvl w:val="0"/>
                <w:numId w:val="3"/>
              </w:numPr>
              <w:spacing w:after="40" w:before="40"/>
            </w:pPr>
            <w:r>
              <w:rPr>
                <w:rFonts w:ascii="Arial" w:cs="Arial" w:eastAsia="Arial" w:hAnsi="Arial"/>
                <w:color w:val="1A1A1A"/>
                <w:sz w:val="20"/>
                <w:szCs w:val="20"/>
              </w:rPr>
              <w:t xml:space="preserve">Materiality: Is this a minor omission or a significant functional gap?</w:t>
            </w:r>
          </w:p>
          <w:p>
            <w:pPr>
              <w:pStyle w:val="ListParagraph"/>
              <w:numPr>
                <w:ilvl w:val="0"/>
                <w:numId w:val="3"/>
              </w:numPr>
              <w:spacing w:after="40" w:before="40"/>
            </w:pPr>
            <w:r>
              <w:rPr>
                <w:rFonts w:ascii="Arial" w:cs="Arial" w:eastAsia="Arial" w:hAnsi="Arial"/>
                <w:color w:val="1A1A1A"/>
                <w:sz w:val="20"/>
                <w:szCs w:val="20"/>
              </w:rPr>
              <w:t xml:space="preserve">Timing: At what point in the delivery cycle was this identified?</w:t>
            </w:r>
          </w:p>
          <w:p>
            <w:pPr>
              <w:spacing w:after="40" w:before="40"/>
            </w:pPr>
            <w:r>
              <w:rPr>
                <w:rFonts w:ascii="Arial" w:cs="Arial" w:eastAsia="Arial" w:hAnsi="Arial"/>
                <w:b w:val="false"/>
                <w:bCs w:val="false"/>
                <w:color w:val="1A1A1A"/>
                <w:sz w:val="20"/>
                <w:szCs w:val="20"/>
              </w:rPr>
              <w:t xml:space="preserve">ECS and the Customer Sponsor will jointly determine the appropriate resolution path, which may include absorbing the work, negotiating a partial Change Order, or prioritizing the requirement in a future sprint or engagement phase.</w:t>
            </w:r>
          </w:p>
        </w:tc>
      </w:tr>
      <w:tr>
        <w:tc>
          <w:tcPr>
            <w:tcW w:type="dxa" w:w="2800"/>
            <w:tcBorders>
              <w:top w:val="single" w:color="C5D8E8" w:sz="6"/>
              <w:left w:val="single" w:color="C5D8E8" w:sz="6"/>
              <w:bottom w:val="single" w:color="C5D8E8" w:sz="6"/>
              <w:right w:val="single" w:color="C5D8E8" w:sz="6"/>
            </w:tcBorders>
            <w:shd w:fill="D0E8F5" w:val="clear"/>
            <w:tcMar>
              <w:top w:type="dxa" w:w="100"/>
              <w:left w:type="dxa" w:w="160"/>
              <w:bottom w:type="dxa" w:w="100"/>
              <w:right w:type="dxa" w:w="120"/>
            </w:tcMar>
            <w:vAlign w:val="top"/>
          </w:tcPr>
          <w:p>
            <w:r>
              <w:rPr>
                <w:rFonts w:ascii="Arial" w:cs="Arial" w:eastAsia="Arial" w:hAnsi="Arial"/>
                <w:b/>
                <w:bCs/>
                <w:color w:val="1B3A6B"/>
                <w:sz w:val="19"/>
                <w:szCs w:val="19"/>
              </w:rPr>
              <w:t xml:space="preserve">ECS Responsibility</w:t>
            </w:r>
          </w:p>
        </w:tc>
        <w:tc>
          <w:tcPr>
            <w:tcW w:type="dxa" w:w="6560"/>
            <w:tcBorders>
              <w:top w:val="single" w:color="C5D8E8" w:sz="6"/>
              <w:left w:val="single" w:color="C5D8E8" w:sz="6"/>
              <w:bottom w:val="single" w:color="C5D8E8" w:sz="6"/>
              <w:right w:val="single" w:color="C5D8E8" w:sz="6"/>
            </w:tcBorders>
            <w:shd w:fill="FFFFFF" w:val="clear"/>
            <w:tcMar>
              <w:top w:type="dxa" w:w="100"/>
              <w:left w:type="dxa" w:w="160"/>
              <w:bottom w:type="dxa" w:w="100"/>
              <w:right w:type="dxa" w:w="120"/>
            </w:tcMar>
            <w:vAlign w:val="top"/>
          </w:tcPr>
          <w:p>
            <w:pPr>
              <w:spacing w:after="40" w:before="40"/>
            </w:pPr>
            <w:r>
              <w:rPr>
                <w:rFonts w:ascii="Arial" w:cs="Arial" w:eastAsia="Arial" w:hAnsi="Arial"/>
                <w:b w:val="false"/>
                <w:bCs w:val="false"/>
                <w:color w:val="1A1A1A"/>
                <w:sz w:val="20"/>
                <w:szCs w:val="20"/>
              </w:rPr>
              <w:t xml:space="preserve">ECS acknowledges that thorough discovery and documentation is a core delivery obligation. Where a Missed Requirement is attributable to an ECS-side documentation failure, ECS will work in good faith to resolve the gap with minimal or no cost impact to the Customer, subject to scope materiality.</w:t>
            </w:r>
          </w:p>
        </w:tc>
      </w:tr>
      <w:tr>
        <w:tc>
          <w:tcPr>
            <w:tcW w:type="dxa" w:w="2800"/>
            <w:tcBorders>
              <w:top w:val="single" w:color="C5D8E8" w:sz="6"/>
              <w:left w:val="single" w:color="C5D8E8" w:sz="6"/>
              <w:bottom w:val="single" w:color="C5D8E8" w:sz="6"/>
              <w:right w:val="single" w:color="C5D8E8" w:sz="6"/>
            </w:tcBorders>
            <w:shd w:fill="D0E8F5" w:val="clear"/>
            <w:tcMar>
              <w:top w:type="dxa" w:w="100"/>
              <w:left w:type="dxa" w:w="160"/>
              <w:bottom w:type="dxa" w:w="100"/>
              <w:right w:type="dxa" w:w="120"/>
            </w:tcMar>
            <w:vAlign w:val="top"/>
          </w:tcPr>
          <w:p>
            <w:r>
              <w:rPr>
                <w:rFonts w:ascii="Arial" w:cs="Arial" w:eastAsia="Arial" w:hAnsi="Arial"/>
                <w:b/>
                <w:bCs/>
                <w:color w:val="1B3A6B"/>
                <w:sz w:val="19"/>
                <w:szCs w:val="19"/>
              </w:rPr>
              <w:t xml:space="preserve">Customer Responsibility</w:t>
            </w:r>
          </w:p>
        </w:tc>
        <w:tc>
          <w:tcPr>
            <w:tcW w:type="dxa" w:w="6560"/>
            <w:tcBorders>
              <w:top w:val="single" w:color="C5D8E8" w:sz="6"/>
              <w:left w:val="single" w:color="C5D8E8" w:sz="6"/>
              <w:bottom w:val="single" w:color="C5D8E8" w:sz="6"/>
              <w:right w:val="single" w:color="C5D8E8" w:sz="6"/>
            </w:tcBorders>
            <w:shd w:fill="FFFFFF" w:val="clear"/>
            <w:tcMar>
              <w:top w:type="dxa" w:w="100"/>
              <w:left w:type="dxa" w:w="160"/>
              <w:bottom w:type="dxa" w:w="100"/>
              <w:right w:type="dxa" w:w="120"/>
            </w:tcMar>
            <w:vAlign w:val="top"/>
          </w:tcPr>
          <w:p>
            <w:pPr>
              <w:spacing w:after="40" w:before="40"/>
            </w:pPr>
            <w:r>
              <w:rPr>
                <w:rFonts w:ascii="Arial" w:cs="Arial" w:eastAsia="Arial" w:hAnsi="Arial"/>
                <w:b w:val="false"/>
                <w:bCs w:val="false"/>
                <w:color w:val="1A1A1A"/>
                <w:sz w:val="20"/>
                <w:szCs w:val="20"/>
              </w:rPr>
              <w:t xml:space="preserve">The Customer is responsible for ensuring that subject matter experts participate in discovery and Sprint 0 activities and that key stakeholders review and approve design documentation. Missed Requirements that arise from lack of Customer participation in scoping activities may be treated as Enhancements.</w:t>
            </w:r>
          </w:p>
        </w:tc>
      </w:tr>
      <w:tr>
        <w:tc>
          <w:tcPr>
            <w:tcW w:type="dxa" w:w="2800"/>
            <w:tcBorders>
              <w:top w:val="single" w:color="C5D8E8" w:sz="6"/>
              <w:left w:val="single" w:color="C5D8E8" w:sz="6"/>
              <w:bottom w:val="single" w:color="C5D8E8" w:sz="6"/>
              <w:right w:val="single" w:color="C5D8E8" w:sz="6"/>
            </w:tcBorders>
            <w:shd w:fill="D0E8F5" w:val="clear"/>
            <w:tcMar>
              <w:top w:type="dxa" w:w="100"/>
              <w:left w:type="dxa" w:w="160"/>
              <w:bottom w:type="dxa" w:w="100"/>
              <w:right w:type="dxa" w:w="120"/>
            </w:tcMar>
            <w:vAlign w:val="top"/>
          </w:tcPr>
          <w:p>
            <w:r>
              <w:rPr>
                <w:rFonts w:ascii="Arial" w:cs="Arial" w:eastAsia="Arial" w:hAnsi="Arial"/>
                <w:b/>
                <w:bCs/>
                <w:color w:val="1B3A6B"/>
                <w:sz w:val="19"/>
                <w:szCs w:val="19"/>
              </w:rPr>
              <w:t xml:space="preserve">Not a Missed Req. if…</w:t>
            </w:r>
          </w:p>
        </w:tc>
        <w:tc>
          <w:tcPr>
            <w:tcW w:type="dxa" w:w="6560"/>
            <w:tcBorders>
              <w:top w:val="single" w:color="C5D8E8" w:sz="6"/>
              <w:left w:val="single" w:color="C5D8E8" w:sz="6"/>
              <w:bottom w:val="single" w:color="C5D8E8" w:sz="6"/>
              <w:right w:val="single" w:color="C5D8E8" w:sz="6"/>
            </w:tcBorders>
            <w:shd w:fill="FFFFFF" w:val="clear"/>
            <w:tcMar>
              <w:top w:type="dxa" w:w="100"/>
              <w:left w:type="dxa" w:w="160"/>
              <w:bottom w:type="dxa" w:w="100"/>
              <w:right w:type="dxa" w:w="120"/>
            </w:tcMar>
            <w:vAlign w:val="top"/>
          </w:tcPr>
          <w:p>
            <w:pPr>
              <w:pStyle w:val="ListParagraph"/>
              <w:numPr>
                <w:ilvl w:val="0"/>
                <w:numId w:val="3"/>
              </w:numPr>
              <w:spacing w:after="40" w:before="40"/>
            </w:pPr>
            <w:r>
              <w:rPr>
                <w:rFonts w:ascii="Arial" w:cs="Arial" w:eastAsia="Arial" w:hAnsi="Arial"/>
                <w:color w:val="1A1A1A"/>
                <w:sz w:val="20"/>
                <w:szCs w:val="20"/>
              </w:rPr>
              <w:t xml:space="preserve">The requirement was raised and explicitly descoped during discovery.</w:t>
            </w:r>
          </w:p>
          <w:p>
            <w:pPr>
              <w:pStyle w:val="ListParagraph"/>
              <w:numPr>
                <w:ilvl w:val="0"/>
                <w:numId w:val="3"/>
              </w:numPr>
              <w:spacing w:after="40" w:before="40"/>
            </w:pPr>
            <w:r>
              <w:rPr>
                <w:rFonts w:ascii="Arial" w:cs="Arial" w:eastAsia="Arial" w:hAnsi="Arial"/>
                <w:color w:val="1A1A1A"/>
                <w:sz w:val="20"/>
                <w:szCs w:val="20"/>
              </w:rPr>
              <w:t xml:space="preserve">The requirement reflects a new capability the Customer has decided they want (see Enhancement).</w:t>
            </w:r>
          </w:p>
          <w:p>
            <w:pPr>
              <w:pStyle w:val="ListParagraph"/>
              <w:numPr>
                <w:ilvl w:val="0"/>
                <w:numId w:val="3"/>
              </w:numPr>
              <w:spacing w:after="40" w:before="40"/>
            </w:pPr>
            <w:r>
              <w:rPr>
                <w:rFonts w:ascii="Arial" w:cs="Arial" w:eastAsia="Arial" w:hAnsi="Arial"/>
                <w:color w:val="1A1A1A"/>
                <w:sz w:val="20"/>
                <w:szCs w:val="20"/>
              </w:rPr>
              <w:t xml:space="preserve">The requirement was documented but the configuration has a defect (see Defect).</w:t>
            </w:r>
          </w:p>
        </w:tc>
      </w:tr>
    </w:tbl>
    <w:p>
      <w:pPr>
        <w:spacing w:after="0" w:before="160"/>
      </w:pPr>
      <w:r>
        <w:t xml:space="preserve"/>
      </w:r>
    </w:p>
    <w:p>
      <w:pPr>
        <w:pStyle w:val="Heading1"/>
        <w:pBdr>
          <w:bottom w:val="single" w:color="00A3E0" w:sz="12" w:space="4"/>
        </w:pBdr>
        <w:spacing w:after="160" w:before="320"/>
      </w:pPr>
      <w:r>
        <w:rPr>
          <w:rFonts w:ascii="Arial" w:cs="Arial" w:eastAsia="Arial" w:hAnsi="Arial"/>
          <w:b/>
          <w:bCs/>
          <w:color w:val="1B3A6B"/>
          <w:sz w:val="32"/>
          <w:szCs w:val="32"/>
        </w:rPr>
        <w:t xml:space="preserve">4. Scope Classification Decision Matrix</w:t>
      </w:r>
    </w:p>
    <w:p>
      <w:pPr>
        <w:spacing w:after="80" w:before="80"/>
        <w:jc w:val="left"/>
      </w:pPr>
      <w:r>
        <w:rPr>
          <w:rFonts w:ascii="Arial" w:cs="Arial" w:eastAsia="Arial" w:hAnsi="Arial"/>
          <w:b w:val="false"/>
          <w:bCs w:val="false"/>
          <w:i w:val="false"/>
          <w:iCs w:val="false"/>
          <w:color w:val="1A1A1A"/>
          <w:sz w:val="20"/>
          <w:szCs w:val="20"/>
        </w:rPr>
        <w:t xml:space="preserve">The following matrix provides guidance on how to classify common scenarios. When a scenario falls into a gray area, the ECS Delivery Manager and Customer Sponsor should review the qualifying criteria in Section 3 and escalate if alignment cannot be reached.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Scenario</w:t>
            </w:r>
          </w:p>
        </w:tc>
        <w:tc>
          <w:tcPr>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Defect</w:t>
            </w:r>
          </w:p>
        </w:tc>
        <w:tc>
          <w:tcPr>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Enhancement</w:t>
            </w:r>
          </w:p>
        </w:tc>
        <w:tc>
          <w:tcPr>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Missed Req.</w:t>
            </w:r>
          </w:p>
        </w:tc>
      </w:tr>
      <w:tr>
        <w:tc>
          <w:tcPr>
            <w:tcBorders>
              <w:top w:val="single" w:color="C5D8E8" w:sz="6"/>
              <w:left w:val="single" w:color="C5D8E8" w:sz="6"/>
              <w:bottom w:val="single" w:color="C5D8E8" w:sz="6"/>
              <w:right w:val="single" w:color="C5D8E8" w:sz="6"/>
            </w:tcBorders>
            <w:shd w:fill="FFFFFF" w:val="clear"/>
            <w:tcMar>
              <w:top w:type="dxa" w:w="100"/>
              <w:left w:type="dxa" w:w="120"/>
              <w:bottom w:type="dxa" w:w="100"/>
              <w:right w:type="dxa" w:w="120"/>
            </w:tcMar>
          </w:tcPr>
          <w:p>
            <w:r>
              <w:rPr>
                <w:rFonts w:ascii="Arial" w:cs="Arial" w:eastAsia="Arial" w:hAnsi="Arial"/>
                <w:color w:val="1A1A1A"/>
                <w:sz w:val="19"/>
                <w:szCs w:val="19"/>
              </w:rPr>
              <w:t xml:space="preserve">Documented design is not working as agreed</w:t>
            </w:r>
          </w:p>
        </w:tc>
        <w:tc>
          <w:tcPr>
            <w:tcBorders>
              <w:top w:val="single" w:color="C5D8E8" w:sz="6"/>
              <w:left w:val="single" w:color="C5D8E8" w:sz="6"/>
              <w:bottom w:val="single" w:color="C5D8E8" w:sz="6"/>
              <w:right w:val="single" w:color="C5D8E8" w:sz="6"/>
            </w:tcBorders>
            <w:shd w:fill="FFFFFF" w:val="clear"/>
            <w:tcMar>
              <w:top w:type="dxa" w:w="100"/>
              <w:left w:type="dxa" w:w="120"/>
              <w:bottom w:type="dxa" w:w="100"/>
              <w:right w:type="dxa" w:w="120"/>
            </w:tcMar>
          </w:tcPr>
          <w:p>
            <w:pPr>
              <w:jc w:val="center"/>
            </w:pPr>
            <w:r>
              <w:rPr>
                <w:rFonts w:ascii="Arial" w:cs="Arial" w:eastAsia="Arial" w:hAnsi="Arial"/>
                <w:b/>
                <w:bCs/>
                <w:color w:val="1B6B3A"/>
                <w:sz w:val="19"/>
                <w:szCs w:val="19"/>
              </w:rPr>
              <w:t xml:space="preserve">✓ Yes</w:t>
            </w:r>
          </w:p>
        </w:tc>
        <w:tc>
          <w:tcPr>
            <w:tcBorders>
              <w:top w:val="single" w:color="C5D8E8" w:sz="6"/>
              <w:left w:val="single" w:color="C5D8E8" w:sz="6"/>
              <w:bottom w:val="single" w:color="C5D8E8" w:sz="6"/>
              <w:right w:val="single" w:color="C5D8E8" w:sz="6"/>
            </w:tcBorders>
            <w:shd w:fill="FFFFFF" w:val="clear"/>
            <w:tcMar>
              <w:top w:type="dxa" w:w="100"/>
              <w:left w:type="dxa" w:w="120"/>
              <w:bottom w:type="dxa" w:w="100"/>
              <w:right w:type="dxa" w:w="120"/>
            </w:tcMar>
          </w:tcPr>
          <w:p>
            <w:pPr>
              <w:jc w:val="center"/>
            </w:pPr>
            <w:r>
              <w:rPr>
                <w:rFonts w:ascii="Arial" w:cs="Arial" w:eastAsia="Arial" w:hAnsi="Arial"/>
                <w:b w:val="false"/>
                <w:bCs w:val="false"/>
                <w:color w:val="666666"/>
                <w:sz w:val="19"/>
                <w:szCs w:val="19"/>
              </w:rPr>
              <w:t xml:space="preserve">—</w:t>
            </w:r>
          </w:p>
        </w:tc>
        <w:tc>
          <w:tcPr>
            <w:tcBorders>
              <w:top w:val="single" w:color="C5D8E8" w:sz="6"/>
              <w:left w:val="single" w:color="C5D8E8" w:sz="6"/>
              <w:bottom w:val="single" w:color="C5D8E8" w:sz="6"/>
              <w:right w:val="single" w:color="C5D8E8" w:sz="6"/>
            </w:tcBorders>
            <w:shd w:fill="FFFFFF" w:val="clear"/>
            <w:tcMar>
              <w:top w:type="dxa" w:w="100"/>
              <w:left w:type="dxa" w:w="120"/>
              <w:bottom w:type="dxa" w:w="100"/>
              <w:right w:type="dxa" w:w="120"/>
            </w:tcMar>
          </w:tcPr>
          <w:p>
            <w:pPr>
              <w:jc w:val="center"/>
            </w:pPr>
            <w:r>
              <w:rPr>
                <w:rFonts w:ascii="Arial" w:cs="Arial" w:eastAsia="Arial" w:hAnsi="Arial"/>
                <w:b w:val="false"/>
                <w:bCs w:val="false"/>
                <w:color w:val="666666"/>
                <w:sz w:val="19"/>
                <w:szCs w:val="19"/>
              </w:rPr>
              <w:t xml:space="preserve">—</w:t>
            </w:r>
          </w:p>
        </w:tc>
      </w:tr>
      <w:tr>
        <w:tc>
          <w:tcPr>
            <w:tcBorders>
              <w:top w:val="single" w:color="C5D8E8" w:sz="6"/>
              <w:left w:val="single" w:color="C5D8E8" w:sz="6"/>
              <w:bottom w:val="single" w:color="C5D8E8" w:sz="6"/>
              <w:right w:val="single" w:color="C5D8E8" w:sz="6"/>
            </w:tcBorders>
            <w:shd w:fill="EBF4FA" w:val="clear"/>
            <w:tcMar>
              <w:top w:type="dxa" w:w="100"/>
              <w:left w:type="dxa" w:w="120"/>
              <w:bottom w:type="dxa" w:w="100"/>
              <w:right w:type="dxa" w:w="120"/>
            </w:tcMar>
          </w:tcPr>
          <w:p>
            <w:r>
              <w:rPr>
                <w:rFonts w:ascii="Arial" w:cs="Arial" w:eastAsia="Arial" w:hAnsi="Arial"/>
                <w:color w:val="1A1A1A"/>
                <w:sz w:val="19"/>
                <w:szCs w:val="19"/>
              </w:rPr>
              <w:t xml:space="preserve">OOTB ServiceNow feature behaves unexpectedly vs. platform docs</w:t>
            </w:r>
          </w:p>
        </w:tc>
        <w:tc>
          <w:tcPr>
            <w:tcBorders>
              <w:top w:val="single" w:color="C5D8E8" w:sz="6"/>
              <w:left w:val="single" w:color="C5D8E8" w:sz="6"/>
              <w:bottom w:val="single" w:color="C5D8E8" w:sz="6"/>
              <w:right w:val="single" w:color="C5D8E8" w:sz="6"/>
            </w:tcBorders>
            <w:shd w:fill="EBF4FA" w:val="clear"/>
            <w:tcMar>
              <w:top w:type="dxa" w:w="100"/>
              <w:left w:type="dxa" w:w="120"/>
              <w:bottom w:type="dxa" w:w="100"/>
              <w:right w:type="dxa" w:w="120"/>
            </w:tcMar>
          </w:tcPr>
          <w:p>
            <w:pPr>
              <w:jc w:val="center"/>
            </w:pPr>
            <w:r>
              <w:rPr>
                <w:rFonts w:ascii="Arial" w:cs="Arial" w:eastAsia="Arial" w:hAnsi="Arial"/>
                <w:b/>
                <w:bCs/>
                <w:color w:val="1B6B3A"/>
                <w:sz w:val="19"/>
                <w:szCs w:val="19"/>
              </w:rPr>
              <w:t xml:space="preserve">✓ Yes</w:t>
            </w:r>
          </w:p>
        </w:tc>
        <w:tc>
          <w:tcPr>
            <w:tcBorders>
              <w:top w:val="single" w:color="C5D8E8" w:sz="6"/>
              <w:left w:val="single" w:color="C5D8E8" w:sz="6"/>
              <w:bottom w:val="single" w:color="C5D8E8" w:sz="6"/>
              <w:right w:val="single" w:color="C5D8E8" w:sz="6"/>
            </w:tcBorders>
            <w:shd w:fill="EBF4FA" w:val="clear"/>
            <w:tcMar>
              <w:top w:type="dxa" w:w="100"/>
              <w:left w:type="dxa" w:w="120"/>
              <w:bottom w:type="dxa" w:w="100"/>
              <w:right w:type="dxa" w:w="120"/>
            </w:tcMar>
          </w:tcPr>
          <w:p>
            <w:pPr>
              <w:jc w:val="center"/>
            </w:pPr>
            <w:r>
              <w:rPr>
                <w:rFonts w:ascii="Arial" w:cs="Arial" w:eastAsia="Arial" w:hAnsi="Arial"/>
                <w:b w:val="false"/>
                <w:bCs w:val="false"/>
                <w:color w:val="666666"/>
                <w:sz w:val="19"/>
                <w:szCs w:val="19"/>
              </w:rPr>
              <w:t xml:space="preserve">—</w:t>
            </w:r>
          </w:p>
        </w:tc>
        <w:tc>
          <w:tcPr>
            <w:tcBorders>
              <w:top w:val="single" w:color="C5D8E8" w:sz="6"/>
              <w:left w:val="single" w:color="C5D8E8" w:sz="6"/>
              <w:bottom w:val="single" w:color="C5D8E8" w:sz="6"/>
              <w:right w:val="single" w:color="C5D8E8" w:sz="6"/>
            </w:tcBorders>
            <w:shd w:fill="EBF4FA" w:val="clear"/>
            <w:tcMar>
              <w:top w:type="dxa" w:w="100"/>
              <w:left w:type="dxa" w:w="120"/>
              <w:bottom w:type="dxa" w:w="100"/>
              <w:right w:type="dxa" w:w="120"/>
            </w:tcMar>
          </w:tcPr>
          <w:p>
            <w:pPr>
              <w:jc w:val="center"/>
            </w:pPr>
            <w:r>
              <w:rPr>
                <w:rFonts w:ascii="Arial" w:cs="Arial" w:eastAsia="Arial" w:hAnsi="Arial"/>
                <w:b w:val="false"/>
                <w:bCs w:val="false"/>
                <w:color w:val="666666"/>
                <w:sz w:val="19"/>
                <w:szCs w:val="19"/>
              </w:rPr>
              <w:t xml:space="preserve">—</w:t>
            </w:r>
          </w:p>
        </w:tc>
      </w:tr>
      <w:tr>
        <w:tc>
          <w:tcPr>
            <w:tcBorders>
              <w:top w:val="single" w:color="C5D8E8" w:sz="6"/>
              <w:left w:val="single" w:color="C5D8E8" w:sz="6"/>
              <w:bottom w:val="single" w:color="C5D8E8" w:sz="6"/>
              <w:right w:val="single" w:color="C5D8E8" w:sz="6"/>
            </w:tcBorders>
            <w:shd w:fill="FFFFFF" w:val="clear"/>
            <w:tcMar>
              <w:top w:type="dxa" w:w="100"/>
              <w:left w:type="dxa" w:w="120"/>
              <w:bottom w:type="dxa" w:w="100"/>
              <w:right w:type="dxa" w:w="120"/>
            </w:tcMar>
          </w:tcPr>
          <w:p>
            <w:r>
              <w:rPr>
                <w:rFonts w:ascii="Arial" w:cs="Arial" w:eastAsia="Arial" w:hAnsi="Arial"/>
                <w:color w:val="1A1A1A"/>
                <w:sz w:val="19"/>
                <w:szCs w:val="19"/>
              </w:rPr>
              <w:t xml:space="preserve">Customer wants additional fields, workflow steps, or automation not in scope</w:t>
            </w:r>
          </w:p>
        </w:tc>
        <w:tc>
          <w:tcPr>
            <w:tcBorders>
              <w:top w:val="single" w:color="C5D8E8" w:sz="6"/>
              <w:left w:val="single" w:color="C5D8E8" w:sz="6"/>
              <w:bottom w:val="single" w:color="C5D8E8" w:sz="6"/>
              <w:right w:val="single" w:color="C5D8E8" w:sz="6"/>
            </w:tcBorders>
            <w:shd w:fill="FFFFFF" w:val="clear"/>
            <w:tcMar>
              <w:top w:type="dxa" w:w="100"/>
              <w:left w:type="dxa" w:w="120"/>
              <w:bottom w:type="dxa" w:w="100"/>
              <w:right w:type="dxa" w:w="120"/>
            </w:tcMar>
          </w:tcPr>
          <w:p>
            <w:pPr>
              <w:jc w:val="center"/>
            </w:pPr>
            <w:r>
              <w:rPr>
                <w:rFonts w:ascii="Arial" w:cs="Arial" w:eastAsia="Arial" w:hAnsi="Arial"/>
                <w:b w:val="false"/>
                <w:bCs w:val="false"/>
                <w:color w:val="666666"/>
                <w:sz w:val="19"/>
                <w:szCs w:val="19"/>
              </w:rPr>
              <w:t xml:space="preserve">—</w:t>
            </w:r>
          </w:p>
        </w:tc>
        <w:tc>
          <w:tcPr>
            <w:tcBorders>
              <w:top w:val="single" w:color="C5D8E8" w:sz="6"/>
              <w:left w:val="single" w:color="C5D8E8" w:sz="6"/>
              <w:bottom w:val="single" w:color="C5D8E8" w:sz="6"/>
              <w:right w:val="single" w:color="C5D8E8" w:sz="6"/>
            </w:tcBorders>
            <w:shd w:fill="FFFFFF" w:val="clear"/>
            <w:tcMar>
              <w:top w:type="dxa" w:w="100"/>
              <w:left w:type="dxa" w:w="120"/>
              <w:bottom w:type="dxa" w:w="100"/>
              <w:right w:type="dxa" w:w="120"/>
            </w:tcMar>
          </w:tcPr>
          <w:p>
            <w:pPr>
              <w:jc w:val="center"/>
            </w:pPr>
            <w:r>
              <w:rPr>
                <w:rFonts w:ascii="Arial" w:cs="Arial" w:eastAsia="Arial" w:hAnsi="Arial"/>
                <w:b/>
                <w:bCs/>
                <w:color w:val="00537A"/>
                <w:sz w:val="19"/>
                <w:szCs w:val="19"/>
              </w:rPr>
              <w:t xml:space="preserve">✓ Yes</w:t>
            </w:r>
          </w:p>
        </w:tc>
        <w:tc>
          <w:tcPr>
            <w:tcBorders>
              <w:top w:val="single" w:color="C5D8E8" w:sz="6"/>
              <w:left w:val="single" w:color="C5D8E8" w:sz="6"/>
              <w:bottom w:val="single" w:color="C5D8E8" w:sz="6"/>
              <w:right w:val="single" w:color="C5D8E8" w:sz="6"/>
            </w:tcBorders>
            <w:shd w:fill="FFFFFF" w:val="clear"/>
            <w:tcMar>
              <w:top w:type="dxa" w:w="100"/>
              <w:left w:type="dxa" w:w="120"/>
              <w:bottom w:type="dxa" w:w="100"/>
              <w:right w:type="dxa" w:w="120"/>
            </w:tcMar>
          </w:tcPr>
          <w:p>
            <w:pPr>
              <w:jc w:val="center"/>
            </w:pPr>
            <w:r>
              <w:rPr>
                <w:rFonts w:ascii="Arial" w:cs="Arial" w:eastAsia="Arial" w:hAnsi="Arial"/>
                <w:b w:val="false"/>
                <w:bCs w:val="false"/>
                <w:color w:val="666666"/>
                <w:sz w:val="19"/>
                <w:szCs w:val="19"/>
              </w:rPr>
              <w:t xml:space="preserve">—</w:t>
            </w:r>
          </w:p>
        </w:tc>
      </w:tr>
      <w:tr>
        <w:tc>
          <w:tcPr>
            <w:tcBorders>
              <w:top w:val="single" w:color="C5D8E8" w:sz="6"/>
              <w:left w:val="single" w:color="C5D8E8" w:sz="6"/>
              <w:bottom w:val="single" w:color="C5D8E8" w:sz="6"/>
              <w:right w:val="single" w:color="C5D8E8" w:sz="6"/>
            </w:tcBorders>
            <w:shd w:fill="EBF4FA" w:val="clear"/>
            <w:tcMar>
              <w:top w:type="dxa" w:w="100"/>
              <w:left w:type="dxa" w:w="120"/>
              <w:bottom w:type="dxa" w:w="100"/>
              <w:right w:type="dxa" w:w="120"/>
            </w:tcMar>
          </w:tcPr>
          <w:p>
            <w:r>
              <w:rPr>
                <w:rFonts w:ascii="Arial" w:cs="Arial" w:eastAsia="Arial" w:hAnsi="Arial"/>
                <w:color w:val="1A1A1A"/>
                <w:sz w:val="19"/>
                <w:szCs w:val="19"/>
              </w:rPr>
              <w:t xml:space="preserve">Customer requests a new integration not in the SOW</w:t>
            </w:r>
          </w:p>
        </w:tc>
        <w:tc>
          <w:tcPr>
            <w:tcBorders>
              <w:top w:val="single" w:color="C5D8E8" w:sz="6"/>
              <w:left w:val="single" w:color="C5D8E8" w:sz="6"/>
              <w:bottom w:val="single" w:color="C5D8E8" w:sz="6"/>
              <w:right w:val="single" w:color="C5D8E8" w:sz="6"/>
            </w:tcBorders>
            <w:shd w:fill="EBF4FA" w:val="clear"/>
            <w:tcMar>
              <w:top w:type="dxa" w:w="100"/>
              <w:left w:type="dxa" w:w="120"/>
              <w:bottom w:type="dxa" w:w="100"/>
              <w:right w:type="dxa" w:w="120"/>
            </w:tcMar>
          </w:tcPr>
          <w:p>
            <w:pPr>
              <w:jc w:val="center"/>
            </w:pPr>
            <w:r>
              <w:rPr>
                <w:rFonts w:ascii="Arial" w:cs="Arial" w:eastAsia="Arial" w:hAnsi="Arial"/>
                <w:b w:val="false"/>
                <w:bCs w:val="false"/>
                <w:color w:val="666666"/>
                <w:sz w:val="19"/>
                <w:szCs w:val="19"/>
              </w:rPr>
              <w:t xml:space="preserve">—</w:t>
            </w:r>
          </w:p>
        </w:tc>
        <w:tc>
          <w:tcPr>
            <w:tcBorders>
              <w:top w:val="single" w:color="C5D8E8" w:sz="6"/>
              <w:left w:val="single" w:color="C5D8E8" w:sz="6"/>
              <w:bottom w:val="single" w:color="C5D8E8" w:sz="6"/>
              <w:right w:val="single" w:color="C5D8E8" w:sz="6"/>
            </w:tcBorders>
            <w:shd w:fill="EBF4FA" w:val="clear"/>
            <w:tcMar>
              <w:top w:type="dxa" w:w="100"/>
              <w:left w:type="dxa" w:w="120"/>
              <w:bottom w:type="dxa" w:w="100"/>
              <w:right w:type="dxa" w:w="120"/>
            </w:tcMar>
          </w:tcPr>
          <w:p>
            <w:pPr>
              <w:jc w:val="center"/>
            </w:pPr>
            <w:r>
              <w:rPr>
                <w:rFonts w:ascii="Arial" w:cs="Arial" w:eastAsia="Arial" w:hAnsi="Arial"/>
                <w:b/>
                <w:bCs/>
                <w:color w:val="00537A"/>
                <w:sz w:val="19"/>
                <w:szCs w:val="19"/>
              </w:rPr>
              <w:t xml:space="preserve">✓ Yes</w:t>
            </w:r>
          </w:p>
        </w:tc>
        <w:tc>
          <w:tcPr>
            <w:tcBorders>
              <w:top w:val="single" w:color="C5D8E8" w:sz="6"/>
              <w:left w:val="single" w:color="C5D8E8" w:sz="6"/>
              <w:bottom w:val="single" w:color="C5D8E8" w:sz="6"/>
              <w:right w:val="single" w:color="C5D8E8" w:sz="6"/>
            </w:tcBorders>
            <w:shd w:fill="EBF4FA" w:val="clear"/>
            <w:tcMar>
              <w:top w:type="dxa" w:w="100"/>
              <w:left w:type="dxa" w:w="120"/>
              <w:bottom w:type="dxa" w:w="100"/>
              <w:right w:type="dxa" w:w="120"/>
            </w:tcMar>
          </w:tcPr>
          <w:p>
            <w:pPr>
              <w:jc w:val="center"/>
            </w:pPr>
            <w:r>
              <w:rPr>
                <w:rFonts w:ascii="Arial" w:cs="Arial" w:eastAsia="Arial" w:hAnsi="Arial"/>
                <w:b w:val="false"/>
                <w:bCs w:val="false"/>
                <w:color w:val="666666"/>
                <w:sz w:val="19"/>
                <w:szCs w:val="19"/>
              </w:rPr>
              <w:t xml:space="preserve">—</w:t>
            </w:r>
          </w:p>
        </w:tc>
      </w:tr>
      <w:tr>
        <w:tc>
          <w:tcPr>
            <w:tcBorders>
              <w:top w:val="single" w:color="C5D8E8" w:sz="6"/>
              <w:left w:val="single" w:color="C5D8E8" w:sz="6"/>
              <w:bottom w:val="single" w:color="C5D8E8" w:sz="6"/>
              <w:right w:val="single" w:color="C5D8E8" w:sz="6"/>
            </w:tcBorders>
            <w:shd w:fill="FFFFFF" w:val="clear"/>
            <w:tcMar>
              <w:top w:type="dxa" w:w="100"/>
              <w:left w:type="dxa" w:w="120"/>
              <w:bottom w:type="dxa" w:w="100"/>
              <w:right w:type="dxa" w:w="120"/>
            </w:tcMar>
          </w:tcPr>
          <w:p>
            <w:r>
              <w:rPr>
                <w:rFonts w:ascii="Arial" w:cs="Arial" w:eastAsia="Arial" w:hAnsi="Arial"/>
                <w:color w:val="1A1A1A"/>
                <w:sz w:val="19"/>
                <w:szCs w:val="19"/>
              </w:rPr>
              <w:t xml:space="preserve">A functional need was never raised in discovery or Sprint 0</w:t>
            </w:r>
          </w:p>
        </w:tc>
        <w:tc>
          <w:tcPr>
            <w:tcBorders>
              <w:top w:val="single" w:color="C5D8E8" w:sz="6"/>
              <w:left w:val="single" w:color="C5D8E8" w:sz="6"/>
              <w:bottom w:val="single" w:color="C5D8E8" w:sz="6"/>
              <w:right w:val="single" w:color="C5D8E8" w:sz="6"/>
            </w:tcBorders>
            <w:shd w:fill="FFFFFF" w:val="clear"/>
            <w:tcMar>
              <w:top w:type="dxa" w:w="100"/>
              <w:left w:type="dxa" w:w="120"/>
              <w:bottom w:type="dxa" w:w="100"/>
              <w:right w:type="dxa" w:w="120"/>
            </w:tcMar>
          </w:tcPr>
          <w:p>
            <w:pPr>
              <w:jc w:val="center"/>
            </w:pPr>
            <w:r>
              <w:rPr>
                <w:rFonts w:ascii="Arial" w:cs="Arial" w:eastAsia="Arial" w:hAnsi="Arial"/>
                <w:b w:val="false"/>
                <w:bCs w:val="false"/>
                <w:color w:val="666666"/>
                <w:sz w:val="19"/>
                <w:szCs w:val="19"/>
              </w:rPr>
              <w:t xml:space="preserve">—</w:t>
            </w:r>
          </w:p>
        </w:tc>
        <w:tc>
          <w:tcPr>
            <w:tcBorders>
              <w:top w:val="single" w:color="C5D8E8" w:sz="6"/>
              <w:left w:val="single" w:color="C5D8E8" w:sz="6"/>
              <w:bottom w:val="single" w:color="C5D8E8" w:sz="6"/>
              <w:right w:val="single" w:color="C5D8E8" w:sz="6"/>
            </w:tcBorders>
            <w:shd w:fill="FFFFFF" w:val="clear"/>
            <w:tcMar>
              <w:top w:type="dxa" w:w="100"/>
              <w:left w:type="dxa" w:w="120"/>
              <w:bottom w:type="dxa" w:w="100"/>
              <w:right w:type="dxa" w:w="120"/>
            </w:tcMar>
          </w:tcPr>
          <w:p>
            <w:pPr>
              <w:jc w:val="center"/>
            </w:pPr>
            <w:r>
              <w:rPr>
                <w:rFonts w:ascii="Arial" w:cs="Arial" w:eastAsia="Arial" w:hAnsi="Arial"/>
                <w:b w:val="false"/>
                <w:bCs w:val="false"/>
                <w:color w:val="666666"/>
                <w:sz w:val="19"/>
                <w:szCs w:val="19"/>
              </w:rPr>
              <w:t xml:space="preserve">—</w:t>
            </w:r>
          </w:p>
        </w:tc>
        <w:tc>
          <w:tcPr>
            <w:tcBorders>
              <w:top w:val="single" w:color="C5D8E8" w:sz="6"/>
              <w:left w:val="single" w:color="C5D8E8" w:sz="6"/>
              <w:bottom w:val="single" w:color="C5D8E8" w:sz="6"/>
              <w:right w:val="single" w:color="C5D8E8" w:sz="6"/>
            </w:tcBorders>
            <w:shd w:fill="FFFFFF" w:val="clear"/>
            <w:tcMar>
              <w:top w:type="dxa" w:w="100"/>
              <w:left w:type="dxa" w:w="120"/>
              <w:bottom w:type="dxa" w:w="100"/>
              <w:right w:type="dxa" w:w="120"/>
            </w:tcMar>
          </w:tcPr>
          <w:p>
            <w:pPr>
              <w:jc w:val="center"/>
            </w:pPr>
            <w:r>
              <w:rPr>
                <w:rFonts w:ascii="Arial" w:cs="Arial" w:eastAsia="Arial" w:hAnsi="Arial"/>
                <w:b/>
                <w:bCs/>
                <w:color w:val="6B3A1B"/>
                <w:sz w:val="19"/>
                <w:szCs w:val="19"/>
              </w:rPr>
              <w:t xml:space="preserve">✓ Yes</w:t>
            </w:r>
          </w:p>
        </w:tc>
      </w:tr>
      <w:tr>
        <w:tc>
          <w:tcPr>
            <w:tcBorders>
              <w:top w:val="single" w:color="C5D8E8" w:sz="6"/>
              <w:left w:val="single" w:color="C5D8E8" w:sz="6"/>
              <w:bottom w:val="single" w:color="C5D8E8" w:sz="6"/>
              <w:right w:val="single" w:color="C5D8E8" w:sz="6"/>
            </w:tcBorders>
            <w:shd w:fill="EBF4FA" w:val="clear"/>
            <w:tcMar>
              <w:top w:type="dxa" w:w="100"/>
              <w:left w:type="dxa" w:w="120"/>
              <w:bottom w:type="dxa" w:w="100"/>
              <w:right w:type="dxa" w:w="120"/>
            </w:tcMar>
          </w:tcPr>
          <w:p>
            <w:r>
              <w:rPr>
                <w:rFonts w:ascii="Arial" w:cs="Arial" w:eastAsia="Arial" w:hAnsi="Arial"/>
                <w:color w:val="1A1A1A"/>
                <w:sz w:val="19"/>
                <w:szCs w:val="19"/>
              </w:rPr>
              <w:t xml:space="preserve">Scope document omitted a process the customer assumed was included</w:t>
            </w:r>
          </w:p>
        </w:tc>
        <w:tc>
          <w:tcPr>
            <w:tcBorders>
              <w:top w:val="single" w:color="C5D8E8" w:sz="6"/>
              <w:left w:val="single" w:color="C5D8E8" w:sz="6"/>
              <w:bottom w:val="single" w:color="C5D8E8" w:sz="6"/>
              <w:right w:val="single" w:color="C5D8E8" w:sz="6"/>
            </w:tcBorders>
            <w:shd w:fill="EBF4FA" w:val="clear"/>
            <w:tcMar>
              <w:top w:type="dxa" w:w="100"/>
              <w:left w:type="dxa" w:w="120"/>
              <w:bottom w:type="dxa" w:w="100"/>
              <w:right w:type="dxa" w:w="120"/>
            </w:tcMar>
          </w:tcPr>
          <w:p>
            <w:pPr>
              <w:jc w:val="center"/>
            </w:pPr>
            <w:r>
              <w:rPr>
                <w:rFonts w:ascii="Arial" w:cs="Arial" w:eastAsia="Arial" w:hAnsi="Arial"/>
                <w:b w:val="false"/>
                <w:bCs w:val="false"/>
                <w:color w:val="666666"/>
                <w:sz w:val="19"/>
                <w:szCs w:val="19"/>
              </w:rPr>
              <w:t xml:space="preserve">—</w:t>
            </w:r>
          </w:p>
        </w:tc>
        <w:tc>
          <w:tcPr>
            <w:tcBorders>
              <w:top w:val="single" w:color="C5D8E8" w:sz="6"/>
              <w:left w:val="single" w:color="C5D8E8" w:sz="6"/>
              <w:bottom w:val="single" w:color="C5D8E8" w:sz="6"/>
              <w:right w:val="single" w:color="C5D8E8" w:sz="6"/>
            </w:tcBorders>
            <w:shd w:fill="EBF4FA" w:val="clear"/>
            <w:tcMar>
              <w:top w:type="dxa" w:w="100"/>
              <w:left w:type="dxa" w:w="120"/>
              <w:bottom w:type="dxa" w:w="100"/>
              <w:right w:type="dxa" w:w="120"/>
            </w:tcMar>
          </w:tcPr>
          <w:p>
            <w:pPr>
              <w:jc w:val="center"/>
            </w:pPr>
            <w:r>
              <w:rPr>
                <w:rFonts w:ascii="Arial" w:cs="Arial" w:eastAsia="Arial" w:hAnsi="Arial"/>
                <w:b w:val="false"/>
                <w:bCs w:val="false"/>
                <w:color w:val="666666"/>
                <w:sz w:val="19"/>
                <w:szCs w:val="19"/>
              </w:rPr>
              <w:t xml:space="preserve">—</w:t>
            </w:r>
          </w:p>
        </w:tc>
        <w:tc>
          <w:tcPr>
            <w:tcBorders>
              <w:top w:val="single" w:color="C5D8E8" w:sz="6"/>
              <w:left w:val="single" w:color="C5D8E8" w:sz="6"/>
              <w:bottom w:val="single" w:color="C5D8E8" w:sz="6"/>
              <w:right w:val="single" w:color="C5D8E8" w:sz="6"/>
            </w:tcBorders>
            <w:shd w:fill="EBF4FA" w:val="clear"/>
            <w:tcMar>
              <w:top w:type="dxa" w:w="100"/>
              <w:left w:type="dxa" w:w="120"/>
              <w:bottom w:type="dxa" w:w="100"/>
              <w:right w:type="dxa" w:w="120"/>
            </w:tcMar>
          </w:tcPr>
          <w:p>
            <w:pPr>
              <w:jc w:val="center"/>
            </w:pPr>
            <w:r>
              <w:rPr>
                <w:rFonts w:ascii="Arial" w:cs="Arial" w:eastAsia="Arial" w:hAnsi="Arial"/>
                <w:b/>
                <w:bCs/>
                <w:color w:val="6B3A1B"/>
                <w:sz w:val="19"/>
                <w:szCs w:val="19"/>
              </w:rPr>
              <w:t xml:space="preserve">✓ Yes</w:t>
            </w:r>
          </w:p>
        </w:tc>
      </w:tr>
      <w:tr>
        <w:tc>
          <w:tcPr>
            <w:tcBorders>
              <w:top w:val="single" w:color="C5D8E8" w:sz="6"/>
              <w:left w:val="single" w:color="C5D8E8" w:sz="6"/>
              <w:bottom w:val="single" w:color="C5D8E8" w:sz="6"/>
              <w:right w:val="single" w:color="C5D8E8" w:sz="6"/>
            </w:tcBorders>
            <w:shd w:fill="FFFFFF" w:val="clear"/>
            <w:tcMar>
              <w:top w:type="dxa" w:w="100"/>
              <w:left w:type="dxa" w:w="120"/>
              <w:bottom w:type="dxa" w:w="100"/>
              <w:right w:type="dxa" w:w="120"/>
            </w:tcMar>
          </w:tcPr>
          <w:p>
            <w:r>
              <w:rPr>
                <w:rFonts w:ascii="Arial" w:cs="Arial" w:eastAsia="Arial" w:hAnsi="Arial"/>
                <w:color w:val="1A1A1A"/>
                <w:sz w:val="19"/>
                <w:szCs w:val="19"/>
              </w:rPr>
              <w:t xml:space="preserve">Customer changes their mind on an approved design decision</w:t>
            </w:r>
          </w:p>
        </w:tc>
        <w:tc>
          <w:tcPr>
            <w:tcBorders>
              <w:top w:val="single" w:color="C5D8E8" w:sz="6"/>
              <w:left w:val="single" w:color="C5D8E8" w:sz="6"/>
              <w:bottom w:val="single" w:color="C5D8E8" w:sz="6"/>
              <w:right w:val="single" w:color="C5D8E8" w:sz="6"/>
            </w:tcBorders>
            <w:shd w:fill="FFFFFF" w:val="clear"/>
            <w:tcMar>
              <w:top w:type="dxa" w:w="100"/>
              <w:left w:type="dxa" w:w="120"/>
              <w:bottom w:type="dxa" w:w="100"/>
              <w:right w:type="dxa" w:w="120"/>
            </w:tcMar>
          </w:tcPr>
          <w:p>
            <w:pPr>
              <w:jc w:val="center"/>
            </w:pPr>
            <w:r>
              <w:rPr>
                <w:rFonts w:ascii="Arial" w:cs="Arial" w:eastAsia="Arial" w:hAnsi="Arial"/>
                <w:b w:val="false"/>
                <w:bCs w:val="false"/>
                <w:color w:val="666666"/>
                <w:sz w:val="19"/>
                <w:szCs w:val="19"/>
              </w:rPr>
              <w:t xml:space="preserve">—</w:t>
            </w:r>
          </w:p>
        </w:tc>
        <w:tc>
          <w:tcPr>
            <w:tcBorders>
              <w:top w:val="single" w:color="C5D8E8" w:sz="6"/>
              <w:left w:val="single" w:color="C5D8E8" w:sz="6"/>
              <w:bottom w:val="single" w:color="C5D8E8" w:sz="6"/>
              <w:right w:val="single" w:color="C5D8E8" w:sz="6"/>
            </w:tcBorders>
            <w:shd w:fill="FFFFFF" w:val="clear"/>
            <w:tcMar>
              <w:top w:type="dxa" w:w="100"/>
              <w:left w:type="dxa" w:w="120"/>
              <w:bottom w:type="dxa" w:w="100"/>
              <w:right w:type="dxa" w:w="120"/>
            </w:tcMar>
          </w:tcPr>
          <w:p>
            <w:pPr>
              <w:jc w:val="center"/>
            </w:pPr>
            <w:r>
              <w:rPr>
                <w:rFonts w:ascii="Arial" w:cs="Arial" w:eastAsia="Arial" w:hAnsi="Arial"/>
                <w:b/>
                <w:bCs/>
                <w:color w:val="00537A"/>
                <w:sz w:val="19"/>
                <w:szCs w:val="19"/>
              </w:rPr>
              <w:t xml:space="preserve">✓ Yes</w:t>
            </w:r>
          </w:p>
        </w:tc>
        <w:tc>
          <w:tcPr>
            <w:tcBorders>
              <w:top w:val="single" w:color="C5D8E8" w:sz="6"/>
              <w:left w:val="single" w:color="C5D8E8" w:sz="6"/>
              <w:bottom w:val="single" w:color="C5D8E8" w:sz="6"/>
              <w:right w:val="single" w:color="C5D8E8" w:sz="6"/>
            </w:tcBorders>
            <w:shd w:fill="FFFFFF" w:val="clear"/>
            <w:tcMar>
              <w:top w:type="dxa" w:w="100"/>
              <w:left w:type="dxa" w:w="120"/>
              <w:bottom w:type="dxa" w:w="100"/>
              <w:right w:type="dxa" w:w="120"/>
            </w:tcMar>
          </w:tcPr>
          <w:p>
            <w:pPr>
              <w:jc w:val="center"/>
            </w:pPr>
            <w:r>
              <w:rPr>
                <w:rFonts w:ascii="Arial" w:cs="Arial" w:eastAsia="Arial" w:hAnsi="Arial"/>
                <w:b w:val="false"/>
                <w:bCs w:val="false"/>
                <w:color w:val="666666"/>
                <w:sz w:val="19"/>
                <w:szCs w:val="19"/>
              </w:rPr>
              <w:t xml:space="preserve">—</w:t>
            </w:r>
          </w:p>
        </w:tc>
      </w:tr>
      <w:tr>
        <w:tc>
          <w:tcPr>
            <w:tcBorders>
              <w:top w:val="single" w:color="C5D8E8" w:sz="6"/>
              <w:left w:val="single" w:color="C5D8E8" w:sz="6"/>
              <w:bottom w:val="single" w:color="C5D8E8" w:sz="6"/>
              <w:right w:val="single" w:color="C5D8E8" w:sz="6"/>
            </w:tcBorders>
            <w:shd w:fill="EBF4FA" w:val="clear"/>
            <w:tcMar>
              <w:top w:type="dxa" w:w="100"/>
              <w:left w:type="dxa" w:w="120"/>
              <w:bottom w:type="dxa" w:w="100"/>
              <w:right w:type="dxa" w:w="120"/>
            </w:tcMar>
          </w:tcPr>
          <w:p>
            <w:r>
              <w:rPr>
                <w:rFonts w:ascii="Arial" w:cs="Arial" w:eastAsia="Arial" w:hAnsi="Arial"/>
                <w:color w:val="1A1A1A"/>
                <w:sz w:val="19"/>
                <w:szCs w:val="19"/>
              </w:rPr>
              <w:t xml:space="preserve">An OOTB limitation prevents agreed outcome — workaround required</w:t>
            </w:r>
          </w:p>
        </w:tc>
        <w:tc>
          <w:tcPr>
            <w:tcBorders>
              <w:top w:val="single" w:color="C5D8E8" w:sz="6"/>
              <w:left w:val="single" w:color="C5D8E8" w:sz="6"/>
              <w:bottom w:val="single" w:color="C5D8E8" w:sz="6"/>
              <w:right w:val="single" w:color="C5D8E8" w:sz="6"/>
            </w:tcBorders>
            <w:shd w:fill="EBF4FA" w:val="clear"/>
            <w:tcMar>
              <w:top w:type="dxa" w:w="100"/>
              <w:left w:type="dxa" w:w="120"/>
              <w:bottom w:type="dxa" w:w="100"/>
              <w:right w:type="dxa" w:w="120"/>
            </w:tcMar>
          </w:tcPr>
          <w:p>
            <w:pPr>
              <w:jc w:val="center"/>
            </w:pPr>
            <w:r>
              <w:rPr>
                <w:rFonts w:ascii="Arial" w:cs="Arial" w:eastAsia="Arial" w:hAnsi="Arial"/>
                <w:b w:val="false"/>
                <w:bCs w:val="false"/>
                <w:color w:val="666666"/>
                <w:sz w:val="19"/>
                <w:szCs w:val="19"/>
              </w:rPr>
              <w:t xml:space="preserve">Case-by-case</w:t>
            </w:r>
          </w:p>
        </w:tc>
        <w:tc>
          <w:tcPr>
            <w:tcBorders>
              <w:top w:val="single" w:color="C5D8E8" w:sz="6"/>
              <w:left w:val="single" w:color="C5D8E8" w:sz="6"/>
              <w:bottom w:val="single" w:color="C5D8E8" w:sz="6"/>
              <w:right w:val="single" w:color="C5D8E8" w:sz="6"/>
            </w:tcBorders>
            <w:shd w:fill="EBF4FA" w:val="clear"/>
            <w:tcMar>
              <w:top w:type="dxa" w:w="100"/>
              <w:left w:type="dxa" w:w="120"/>
              <w:bottom w:type="dxa" w:w="100"/>
              <w:right w:type="dxa" w:w="120"/>
            </w:tcMar>
          </w:tcPr>
          <w:p>
            <w:pPr>
              <w:jc w:val="center"/>
            </w:pPr>
            <w:r>
              <w:rPr>
                <w:rFonts w:ascii="Arial" w:cs="Arial" w:eastAsia="Arial" w:hAnsi="Arial"/>
                <w:b w:val="false"/>
                <w:bCs w:val="false"/>
                <w:color w:val="666666"/>
                <w:sz w:val="19"/>
                <w:szCs w:val="19"/>
              </w:rPr>
              <w:t xml:space="preserve">Possible</w:t>
            </w:r>
          </w:p>
        </w:tc>
        <w:tc>
          <w:tcPr>
            <w:tcBorders>
              <w:top w:val="single" w:color="C5D8E8" w:sz="6"/>
              <w:left w:val="single" w:color="C5D8E8" w:sz="6"/>
              <w:bottom w:val="single" w:color="C5D8E8" w:sz="6"/>
              <w:right w:val="single" w:color="C5D8E8" w:sz="6"/>
            </w:tcBorders>
            <w:shd w:fill="EBF4FA" w:val="clear"/>
            <w:tcMar>
              <w:top w:type="dxa" w:w="100"/>
              <w:left w:type="dxa" w:w="120"/>
              <w:bottom w:type="dxa" w:w="100"/>
              <w:right w:type="dxa" w:w="120"/>
            </w:tcMar>
          </w:tcPr>
          <w:p>
            <w:pPr>
              <w:jc w:val="center"/>
            </w:pPr>
            <w:r>
              <w:rPr>
                <w:rFonts w:ascii="Arial" w:cs="Arial" w:eastAsia="Arial" w:hAnsi="Arial"/>
                <w:b w:val="false"/>
                <w:bCs w:val="false"/>
                <w:color w:val="666666"/>
                <w:sz w:val="19"/>
                <w:szCs w:val="19"/>
              </w:rPr>
              <w:t xml:space="preserve">Possible</w:t>
            </w:r>
          </w:p>
        </w:tc>
      </w:tr>
    </w:tbl>
    <w:p>
      <w:pPr>
        <w:spacing w:after="0" w:before="120"/>
      </w:pPr>
      <w:r>
        <w:t xml:space="preserve"/>
      </w:r>
    </w:p>
    <w:p>
      <w:pPr>
        <w:pStyle w:val="Heading1"/>
        <w:pBdr>
          <w:bottom w:val="single" w:color="00A3E0" w:sz="12" w:space="4"/>
        </w:pBdr>
        <w:spacing w:after="160" w:before="320"/>
      </w:pPr>
      <w:r>
        <w:rPr>
          <w:rFonts w:ascii="Arial" w:cs="Arial" w:eastAsia="Arial" w:hAnsi="Arial"/>
          <w:b/>
          <w:bCs/>
          <w:color w:val="1B3A6B"/>
          <w:sz w:val="32"/>
          <w:szCs w:val="32"/>
        </w:rPr>
        <w:t xml:space="preserve">5. Classification &amp; Escalation Process</w:t>
      </w:r>
    </w:p>
    <w:p>
      <w:pPr>
        <w:spacing w:after="0" w:before="60"/>
      </w:pPr>
      <w:r>
        <w:t xml:space="preserve"/>
      </w:r>
    </w:p>
    <w:p>
      <w:pPr>
        <w:pStyle w:val="Heading2"/>
        <w:spacing w:after="120" w:before="240"/>
      </w:pPr>
      <w:r>
        <w:rPr>
          <w:rFonts w:ascii="Arial" w:cs="Arial" w:eastAsia="Arial" w:hAnsi="Arial"/>
          <w:b/>
          <w:bCs/>
          <w:color w:val="1B3A6B"/>
          <w:sz w:val="26"/>
          <w:szCs w:val="26"/>
        </w:rPr>
        <w:t xml:space="preserve">Step 1 — Submission</w:t>
      </w:r>
    </w:p>
    <w:p>
      <w:pPr>
        <w:spacing w:after="80" w:before="80"/>
        <w:jc w:val="left"/>
      </w:pPr>
      <w:r>
        <w:rPr>
          <w:rFonts w:ascii="Arial" w:cs="Arial" w:eastAsia="Arial" w:hAnsi="Arial"/>
          <w:b w:val="false"/>
          <w:bCs w:val="false"/>
          <w:i w:val="false"/>
          <w:iCs w:val="false"/>
          <w:color w:val="1A1A1A"/>
          <w:sz w:val="20"/>
          <w:szCs w:val="20"/>
        </w:rPr>
        <w:t xml:space="preserve">Either party may raise a scope classification question at any time by submitting a written description of the finding to the ECS Delivery Manager. Verbal or informal submissions do not initiate the formal process.</w:t>
      </w:r>
    </w:p>
    <w:p>
      <w:pPr>
        <w:spacing w:after="0" w:before="60"/>
      </w:pPr>
      <w:r>
        <w:t xml:space="preserve"/>
      </w:r>
    </w:p>
    <w:p>
      <w:pPr>
        <w:pStyle w:val="Heading2"/>
        <w:spacing w:after="120" w:before="240"/>
      </w:pPr>
      <w:r>
        <w:rPr>
          <w:rFonts w:ascii="Arial" w:cs="Arial" w:eastAsia="Arial" w:hAnsi="Arial"/>
          <w:b/>
          <w:bCs/>
          <w:color w:val="1B3A6B"/>
          <w:sz w:val="26"/>
          <w:szCs w:val="26"/>
        </w:rPr>
        <w:t xml:space="preserve">Step 2 — Initial Assessment (5 Business Days)</w:t>
      </w:r>
    </w:p>
    <w:p>
      <w:pPr>
        <w:spacing w:after="80" w:before="80"/>
        <w:jc w:val="left"/>
      </w:pPr>
      <w:r>
        <w:rPr>
          <w:rFonts w:ascii="Arial" w:cs="Arial" w:eastAsia="Arial" w:hAnsi="Arial"/>
          <w:b w:val="false"/>
          <w:bCs w:val="false"/>
          <w:i w:val="false"/>
          <w:iCs w:val="false"/>
          <w:color w:val="1A1A1A"/>
          <w:sz w:val="20"/>
          <w:szCs w:val="20"/>
        </w:rPr>
        <w:t xml:space="preserve">The ECS Delivery Manager will review the submission against approved design documentation and issue an initial classification within five (5) business days. The classification will specify the rationale and reference the relevant design artifacts.</w:t>
      </w:r>
    </w:p>
    <w:p>
      <w:pPr>
        <w:spacing w:after="0" w:before="60"/>
      </w:pPr>
      <w:r>
        <w:t xml:space="preserve"/>
      </w:r>
    </w:p>
    <w:p>
      <w:pPr>
        <w:pStyle w:val="Heading2"/>
        <w:spacing w:after="120" w:before="240"/>
      </w:pPr>
      <w:r>
        <w:rPr>
          <w:rFonts w:ascii="Arial" w:cs="Arial" w:eastAsia="Arial" w:hAnsi="Arial"/>
          <w:b/>
          <w:bCs/>
          <w:color w:val="1B3A6B"/>
          <w:sz w:val="26"/>
          <w:szCs w:val="26"/>
        </w:rPr>
        <w:t xml:space="preserve">Step 3 — Customer Review</w:t>
      </w:r>
    </w:p>
    <w:p>
      <w:pPr>
        <w:spacing w:after="80" w:before="80"/>
        <w:jc w:val="left"/>
      </w:pPr>
      <w:r>
        <w:rPr>
          <w:rFonts w:ascii="Arial" w:cs="Arial" w:eastAsia="Arial" w:hAnsi="Arial"/>
          <w:b w:val="false"/>
          <w:bCs w:val="false"/>
          <w:i w:val="false"/>
          <w:iCs w:val="false"/>
          <w:color w:val="1A1A1A"/>
          <w:sz w:val="20"/>
          <w:szCs w:val="20"/>
        </w:rPr>
        <w:t xml:space="preserve">The Customer Sponsor has five (5) business days to accept, dispute, or request a joint working session on the classification. Silence after five business days constitutes acceptance.</w:t>
      </w:r>
    </w:p>
    <w:p>
      <w:pPr>
        <w:spacing w:after="0" w:before="60"/>
      </w:pPr>
      <w:r>
        <w:t xml:space="preserve"/>
      </w:r>
    </w:p>
    <w:p>
      <w:pPr>
        <w:pStyle w:val="Heading2"/>
        <w:spacing w:after="120" w:before="240"/>
      </w:pPr>
      <w:r>
        <w:rPr>
          <w:rFonts w:ascii="Arial" w:cs="Arial" w:eastAsia="Arial" w:hAnsi="Arial"/>
          <w:b/>
          <w:bCs/>
          <w:color w:val="1B3A6B"/>
          <w:sz w:val="26"/>
          <w:szCs w:val="26"/>
        </w:rPr>
        <w:t xml:space="preserve">Step 4 — Escalation</w:t>
      </w:r>
    </w:p>
    <w:p>
      <w:pPr>
        <w:spacing w:after="80" w:before="80"/>
        <w:jc w:val="left"/>
      </w:pPr>
      <w:r>
        <w:rPr>
          <w:rFonts w:ascii="Arial" w:cs="Arial" w:eastAsia="Arial" w:hAnsi="Arial"/>
          <w:b w:val="false"/>
          <w:bCs w:val="false"/>
          <w:i w:val="false"/>
          <w:iCs w:val="false"/>
          <w:color w:val="1A1A1A"/>
          <w:sz w:val="20"/>
          <w:szCs w:val="20"/>
        </w:rPr>
        <w:t xml:space="preserve">If the parties cannot reach agreement, the matter is escalated to the ECS Practice Manager and the Customer’s designated executive sponsor within three (3) business days. A resolution will be sought within ten (10) business days of escalation.</w:t>
      </w:r>
    </w:p>
    <w:p>
      <w:pPr>
        <w:spacing w:after="0" w:before="60"/>
      </w:pPr>
      <w:r>
        <w:t xml:space="preserve"/>
      </w:r>
    </w:p>
    <w:p>
      <w:pPr>
        <w:pStyle w:val="Heading2"/>
        <w:spacing w:after="120" w:before="240"/>
      </w:pPr>
      <w:r>
        <w:rPr>
          <w:rFonts w:ascii="Arial" w:cs="Arial" w:eastAsia="Arial" w:hAnsi="Arial"/>
          <w:b/>
          <w:bCs/>
          <w:color w:val="1B3A6B"/>
          <w:sz w:val="26"/>
          <w:szCs w:val="26"/>
        </w:rPr>
        <w:t xml:space="preserve">Step 5 — Documentation</w:t>
      </w:r>
    </w:p>
    <w:p>
      <w:pPr>
        <w:spacing w:after="80" w:before="80"/>
        <w:jc w:val="left"/>
      </w:pPr>
      <w:r>
        <w:rPr>
          <w:rFonts w:ascii="Arial" w:cs="Arial" w:eastAsia="Arial" w:hAnsi="Arial"/>
          <w:b w:val="false"/>
          <w:bCs w:val="false"/>
          <w:i w:val="false"/>
          <w:iCs w:val="false"/>
          <w:color w:val="1A1A1A"/>
          <w:sz w:val="20"/>
          <w:szCs w:val="20"/>
        </w:rPr>
        <w:t xml:space="preserve">All classification decisions are documented in the project Issue Log and, where applicable, reflected in a formal Change Order or design amendment. Classifications that result in no-cost remediation are documented as Defect resolutions in the sprint workbook.</w:t>
      </w:r>
    </w:p>
    <w:p>
      <w:pPr>
        <w:spacing w:after="0" w:before="120"/>
      </w:pPr>
      <w:r>
        <w:t xml:space="preserve"/>
      </w:r>
    </w:p>
    <w:p>
      <w:pPr>
        <w:pStyle w:val="Heading1"/>
        <w:pBdr>
          <w:bottom w:val="single" w:color="00A3E0" w:sz="12" w:space="4"/>
        </w:pBdr>
        <w:spacing w:after="160" w:before="320"/>
      </w:pPr>
      <w:r>
        <w:rPr>
          <w:rFonts w:ascii="Arial" w:cs="Arial" w:eastAsia="Arial" w:hAnsi="Arial"/>
          <w:b/>
          <w:bCs/>
          <w:color w:val="1B3A6B"/>
          <w:sz w:val="32"/>
          <w:szCs w:val="32"/>
        </w:rPr>
        <w:t xml:space="preserve">6. Recommended SOW Incorporation Language</w:t>
      </w:r>
    </w:p>
    <w:p>
      <w:pPr>
        <w:spacing w:after="80" w:before="80"/>
        <w:jc w:val="left"/>
      </w:pPr>
      <w:r>
        <w:rPr>
          <w:rFonts w:ascii="Arial" w:cs="Arial" w:eastAsia="Arial" w:hAnsi="Arial"/>
          <w:b w:val="false"/>
          <w:bCs w:val="false"/>
          <w:i w:val="false"/>
          <w:iCs w:val="false"/>
          <w:color w:val="1A1A1A"/>
          <w:sz w:val="20"/>
          <w:szCs w:val="20"/>
        </w:rPr>
        <w:t xml:space="preserve">The following paragraph is recommended for inclusion in the project SOW under a “Scope Management” or “Change Control” section: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8E8" w:sz="6"/>
              <w:left w:val="single" w:color="00A3E0" w:sz="24"/>
              <w:bottom w:val="single" w:color="C5D8E8" w:sz="6"/>
              <w:right w:val="single" w:color="C5D8E8" w:sz="6"/>
            </w:tcBorders>
            <w:shd w:fill="EBF4FA" w:val="clear"/>
            <w:tcMar>
              <w:top w:type="dxa" w:w="160"/>
              <w:left w:type="dxa" w:w="240"/>
              <w:bottom w:type="dxa" w:w="160"/>
              <w:right w:type="dxa" w:w="240"/>
            </w:tcMar>
          </w:tcPr>
          <w:p>
            <w:r>
              <w:rPr>
                <w:rFonts w:ascii="Arial" w:cs="Arial" w:eastAsia="Arial" w:hAnsi="Arial"/>
                <w:i/>
                <w:iCs/>
                <w:color w:val="1A1A1A"/>
                <w:sz w:val="20"/>
                <w:szCs w:val="20"/>
              </w:rPr>
              <w:t xml:space="preserve">Scope Classification. The parties agree that all scope-related findings during delivery will be classified as one of the following: (a) a Defect, meaning a delivered configuration that does not perform as documented in approved design artifacts or that contradicts ServiceNow’s published platform documentation; (b) an Enhancement, meaning a request to add or modify functionality not described in this SOW or in approved design documentation; or (c) a Missed Requirement, meaning a functional need not captured during discovery or Sprint 0 that was not surfaced by either party. Defects will be remediated by ECS at no additional charge. Enhancements require a signed Change Order prior to commencement of work. Missed Requirements will be evaluated jointly by the parties on a case-by-case basis according to the Scope Classification Definitions document incorporated herein by reference.</w:t>
            </w:r>
          </w:p>
        </w:tc>
      </w:tr>
    </w:tbl>
    <w:p>
      <w:pPr>
        <w:spacing w:after="0" w:before="120"/>
      </w:pPr>
      <w:r>
        <w:t xml:space="preserve"/>
      </w:r>
    </w:p>
    <w:p>
      <w:pPr>
        <w:pStyle w:val="Heading1"/>
        <w:pBdr>
          <w:bottom w:val="single" w:color="00A3E0" w:sz="12" w:space="4"/>
        </w:pBdr>
        <w:spacing w:after="160" w:before="320"/>
      </w:pPr>
      <w:r>
        <w:rPr>
          <w:rFonts w:ascii="Arial" w:cs="Arial" w:eastAsia="Arial" w:hAnsi="Arial"/>
          <w:b/>
          <w:bCs/>
          <w:color w:val="1B3A6B"/>
          <w:sz w:val="32"/>
          <w:szCs w:val="32"/>
        </w:rPr>
        <w:t xml:space="preserve">7. Document Control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8E8" w:sz="6"/>
              <w:left w:val="single" w:color="C5D8E8" w:sz="6"/>
              <w:bottom w:val="single" w:color="C5D8E8" w:sz="6"/>
              <w:right w:val="single" w:color="C5D8E8" w:sz="6"/>
            </w:tcBorders>
            <w:shd w:fill="D0E8F5" w:val="clear"/>
            <w:tcMar>
              <w:top w:type="dxa" w:w="80"/>
              <w:left w:type="dxa" w:w="160"/>
              <w:bottom w:type="dxa" w:w="80"/>
              <w:right w:type="dxa" w:w="120"/>
            </w:tcMar>
          </w:tcPr>
          <w:p>
            <w:r>
              <w:rPr>
                <w:rFonts w:ascii="Arial" w:cs="Arial" w:eastAsia="Arial" w:hAnsi="Arial"/>
                <w:b/>
                <w:bCs/>
                <w:color w:val="1B3A6B"/>
                <w:sz w:val="19"/>
                <w:szCs w:val="19"/>
              </w:rPr>
              <w:t xml:space="preserve">Document Title</w:t>
            </w:r>
          </w:p>
        </w:tc>
        <w:tc>
          <w:tcPr>
            <w:tcW w:type="dxa" w:w="6240"/>
            <w:tcBorders>
              <w:top w:val="single" w:color="C5D8E8" w:sz="6"/>
              <w:left w:val="single" w:color="C5D8E8" w:sz="6"/>
              <w:bottom w:val="single" w:color="C5D8E8" w:sz="6"/>
              <w:right w:val="single" w:color="C5D8E8" w:sz="6"/>
            </w:tcBorders>
            <w:shd w:fill="FFFFFF" w:val="clear"/>
            <w:tcMar>
              <w:top w:type="dxa" w:w="80"/>
              <w:left w:type="dxa" w:w="160"/>
              <w:bottom w:type="dxa" w:w="80"/>
              <w:right w:type="dxa" w:w="120"/>
            </w:tcMar>
          </w:tcPr>
          <w:p>
            <w:r>
              <w:rPr>
                <w:rFonts w:ascii="Arial" w:cs="Arial" w:eastAsia="Arial" w:hAnsi="Arial"/>
                <w:color w:val="1A1A1A"/>
                <w:sz w:val="19"/>
                <w:szCs w:val="19"/>
              </w:rPr>
              <w:t xml:space="preserve">Scope Classification Definitions — SOW Reference Language</w:t>
            </w:r>
          </w:p>
        </w:tc>
      </w:tr>
      <w:tr>
        <w:tc>
          <w:tcPr>
            <w:tcW w:type="dxa" w:w="3120"/>
            <w:tcBorders>
              <w:top w:val="single" w:color="C5D8E8" w:sz="6"/>
              <w:left w:val="single" w:color="C5D8E8" w:sz="6"/>
              <w:bottom w:val="single" w:color="C5D8E8" w:sz="6"/>
              <w:right w:val="single" w:color="C5D8E8" w:sz="6"/>
            </w:tcBorders>
            <w:shd w:fill="EBF4FA" w:val="clear"/>
            <w:tcMar>
              <w:top w:type="dxa" w:w="80"/>
              <w:left w:type="dxa" w:w="160"/>
              <w:bottom w:type="dxa" w:w="80"/>
              <w:right w:type="dxa" w:w="120"/>
            </w:tcMar>
          </w:tcPr>
          <w:p>
            <w:r>
              <w:rPr>
                <w:rFonts w:ascii="Arial" w:cs="Arial" w:eastAsia="Arial" w:hAnsi="Arial"/>
                <w:b/>
                <w:bCs/>
                <w:color w:val="1B3A6B"/>
                <w:sz w:val="19"/>
                <w:szCs w:val="19"/>
              </w:rPr>
              <w:t xml:space="preserve">Version</w:t>
            </w:r>
          </w:p>
        </w:tc>
        <w:tc>
          <w:tcPr>
            <w:tcW w:type="dxa" w:w="6240"/>
            <w:tcBorders>
              <w:top w:val="single" w:color="C5D8E8" w:sz="6"/>
              <w:left w:val="single" w:color="C5D8E8" w:sz="6"/>
              <w:bottom w:val="single" w:color="C5D8E8" w:sz="6"/>
              <w:right w:val="single" w:color="C5D8E8" w:sz="6"/>
            </w:tcBorders>
            <w:shd w:fill="EBF4FA" w:val="clear"/>
            <w:tcMar>
              <w:top w:type="dxa" w:w="80"/>
              <w:left w:type="dxa" w:w="160"/>
              <w:bottom w:type="dxa" w:w="80"/>
              <w:right w:type="dxa" w:w="120"/>
            </w:tcMar>
          </w:tcPr>
          <w:p>
            <w:r>
              <w:rPr>
                <w:rFonts w:ascii="Arial" w:cs="Arial" w:eastAsia="Arial" w:hAnsi="Arial"/>
                <w:color w:val="1A1A1A"/>
                <w:sz w:val="19"/>
                <w:szCs w:val="19"/>
              </w:rPr>
              <w:t xml:space="preserve">1.0 — Draft for Review</w:t>
            </w:r>
          </w:p>
        </w:tc>
      </w:tr>
      <w:tr>
        <w:tc>
          <w:tcPr>
            <w:tcW w:type="dxa" w:w="3120"/>
            <w:tcBorders>
              <w:top w:val="single" w:color="C5D8E8" w:sz="6"/>
              <w:left w:val="single" w:color="C5D8E8" w:sz="6"/>
              <w:bottom w:val="single" w:color="C5D8E8" w:sz="6"/>
              <w:right w:val="single" w:color="C5D8E8" w:sz="6"/>
            </w:tcBorders>
            <w:shd w:fill="D0E8F5" w:val="clear"/>
            <w:tcMar>
              <w:top w:type="dxa" w:w="80"/>
              <w:left w:type="dxa" w:w="160"/>
              <w:bottom w:type="dxa" w:w="80"/>
              <w:right w:type="dxa" w:w="120"/>
            </w:tcMar>
          </w:tcPr>
          <w:p>
            <w:r>
              <w:rPr>
                <w:rFonts w:ascii="Arial" w:cs="Arial" w:eastAsia="Arial" w:hAnsi="Arial"/>
                <w:b/>
                <w:bCs/>
                <w:color w:val="1B3A6B"/>
                <w:sz w:val="19"/>
                <w:szCs w:val="19"/>
              </w:rPr>
              <w:t xml:space="preserve">Owner</w:t>
            </w:r>
          </w:p>
        </w:tc>
        <w:tc>
          <w:tcPr>
            <w:tcW w:type="dxa" w:w="6240"/>
            <w:tcBorders>
              <w:top w:val="single" w:color="C5D8E8" w:sz="6"/>
              <w:left w:val="single" w:color="C5D8E8" w:sz="6"/>
              <w:bottom w:val="single" w:color="C5D8E8" w:sz="6"/>
              <w:right w:val="single" w:color="C5D8E8" w:sz="6"/>
            </w:tcBorders>
            <w:shd w:fill="FFFFFF" w:val="clear"/>
            <w:tcMar>
              <w:top w:type="dxa" w:w="80"/>
              <w:left w:type="dxa" w:w="160"/>
              <w:bottom w:type="dxa" w:w="80"/>
              <w:right w:type="dxa" w:w="120"/>
            </w:tcMar>
          </w:tcPr>
          <w:p>
            <w:r>
              <w:rPr>
                <w:rFonts w:ascii="Arial" w:cs="Arial" w:eastAsia="Arial" w:hAnsi="Arial"/>
                <w:color w:val="1A1A1A"/>
                <w:sz w:val="19"/>
                <w:szCs w:val="19"/>
              </w:rPr>
              <w:t xml:space="preserve">ECS Practice Management</w:t>
            </w:r>
          </w:p>
        </w:tc>
      </w:tr>
      <w:tr>
        <w:tc>
          <w:tcPr>
            <w:tcW w:type="dxa" w:w="3120"/>
            <w:tcBorders>
              <w:top w:val="single" w:color="C5D8E8" w:sz="6"/>
              <w:left w:val="single" w:color="C5D8E8" w:sz="6"/>
              <w:bottom w:val="single" w:color="C5D8E8" w:sz="6"/>
              <w:right w:val="single" w:color="C5D8E8" w:sz="6"/>
            </w:tcBorders>
            <w:shd w:fill="EBF4FA" w:val="clear"/>
            <w:tcMar>
              <w:top w:type="dxa" w:w="80"/>
              <w:left w:type="dxa" w:w="160"/>
              <w:bottom w:type="dxa" w:w="80"/>
              <w:right w:type="dxa" w:w="120"/>
            </w:tcMar>
          </w:tcPr>
          <w:p>
            <w:r>
              <w:rPr>
                <w:rFonts w:ascii="Arial" w:cs="Arial" w:eastAsia="Arial" w:hAnsi="Arial"/>
                <w:b/>
                <w:bCs/>
                <w:color w:val="1B3A6B"/>
                <w:sz w:val="19"/>
                <w:szCs w:val="19"/>
              </w:rPr>
              <w:t xml:space="preserve">Status</w:t>
            </w:r>
          </w:p>
        </w:tc>
        <w:tc>
          <w:tcPr>
            <w:tcW w:type="dxa" w:w="6240"/>
            <w:tcBorders>
              <w:top w:val="single" w:color="C5D8E8" w:sz="6"/>
              <w:left w:val="single" w:color="C5D8E8" w:sz="6"/>
              <w:bottom w:val="single" w:color="C5D8E8" w:sz="6"/>
              <w:right w:val="single" w:color="C5D8E8" w:sz="6"/>
            </w:tcBorders>
            <w:shd w:fill="EBF4FA" w:val="clear"/>
            <w:tcMar>
              <w:top w:type="dxa" w:w="80"/>
              <w:left w:type="dxa" w:w="160"/>
              <w:bottom w:type="dxa" w:w="80"/>
              <w:right w:type="dxa" w:w="120"/>
            </w:tcMar>
          </w:tcPr>
          <w:p>
            <w:r>
              <w:rPr>
                <w:rFonts w:ascii="Arial" w:cs="Arial" w:eastAsia="Arial" w:hAnsi="Arial"/>
                <w:color w:val="1A1A1A"/>
                <w:sz w:val="19"/>
                <w:szCs w:val="19"/>
              </w:rPr>
              <w:t xml:space="preserve">Internal Review</w:t>
            </w:r>
          </w:p>
        </w:tc>
      </w:tr>
      <w:tr>
        <w:tc>
          <w:tcPr>
            <w:tcW w:type="dxa" w:w="3120"/>
            <w:tcBorders>
              <w:top w:val="single" w:color="C5D8E8" w:sz="6"/>
              <w:left w:val="single" w:color="C5D8E8" w:sz="6"/>
              <w:bottom w:val="single" w:color="C5D8E8" w:sz="6"/>
              <w:right w:val="single" w:color="C5D8E8" w:sz="6"/>
            </w:tcBorders>
            <w:shd w:fill="D0E8F5" w:val="clear"/>
            <w:tcMar>
              <w:top w:type="dxa" w:w="80"/>
              <w:left w:type="dxa" w:w="160"/>
              <w:bottom w:type="dxa" w:w="80"/>
              <w:right w:type="dxa" w:w="120"/>
            </w:tcMar>
          </w:tcPr>
          <w:p>
            <w:r>
              <w:rPr>
                <w:rFonts w:ascii="Arial" w:cs="Arial" w:eastAsia="Arial" w:hAnsi="Arial"/>
                <w:b/>
                <w:bCs/>
                <w:color w:val="1B3A6B"/>
                <w:sz w:val="19"/>
                <w:szCs w:val="19"/>
              </w:rPr>
              <w:t xml:space="preserve">Last Updated</w:t>
            </w:r>
          </w:p>
        </w:tc>
        <w:tc>
          <w:tcPr>
            <w:tcW w:type="dxa" w:w="6240"/>
            <w:tcBorders>
              <w:top w:val="single" w:color="C5D8E8" w:sz="6"/>
              <w:left w:val="single" w:color="C5D8E8" w:sz="6"/>
              <w:bottom w:val="single" w:color="C5D8E8" w:sz="6"/>
              <w:right w:val="single" w:color="C5D8E8" w:sz="6"/>
            </w:tcBorders>
            <w:shd w:fill="FFFFFF" w:val="clear"/>
            <w:tcMar>
              <w:top w:type="dxa" w:w="80"/>
              <w:left w:type="dxa" w:w="160"/>
              <w:bottom w:type="dxa" w:w="80"/>
              <w:right w:type="dxa" w:w="120"/>
            </w:tcMar>
          </w:tcPr>
          <w:p>
            <w:r>
              <w:rPr>
                <w:rFonts w:ascii="Arial" w:cs="Arial" w:eastAsia="Arial" w:hAnsi="Arial"/>
                <w:color w:val="1A1A1A"/>
                <w:sz w:val="19"/>
                <w:szCs w:val="19"/>
              </w:rPr>
              <w:t xml:space="preserve">May 2025</w:t>
            </w:r>
          </w:p>
        </w:tc>
      </w:tr>
      <w:tr>
        <w:tc>
          <w:tcPr>
            <w:tcW w:type="dxa" w:w="3120"/>
            <w:tcBorders>
              <w:top w:val="single" w:color="C5D8E8" w:sz="6"/>
              <w:left w:val="single" w:color="C5D8E8" w:sz="6"/>
              <w:bottom w:val="single" w:color="C5D8E8" w:sz="6"/>
              <w:right w:val="single" w:color="C5D8E8" w:sz="6"/>
            </w:tcBorders>
            <w:shd w:fill="EBF4FA" w:val="clear"/>
            <w:tcMar>
              <w:top w:type="dxa" w:w="80"/>
              <w:left w:type="dxa" w:w="160"/>
              <w:bottom w:type="dxa" w:w="80"/>
              <w:right w:type="dxa" w:w="120"/>
            </w:tcMar>
          </w:tcPr>
          <w:p>
            <w:r>
              <w:rPr>
                <w:rFonts w:ascii="Arial" w:cs="Arial" w:eastAsia="Arial" w:hAnsi="Arial"/>
                <w:b/>
                <w:bCs/>
                <w:color w:val="1B3A6B"/>
                <w:sz w:val="19"/>
                <w:szCs w:val="19"/>
              </w:rPr>
              <w:t xml:space="preserve">Next Review</w:t>
            </w:r>
          </w:p>
        </w:tc>
        <w:tc>
          <w:tcPr>
            <w:tcW w:type="dxa" w:w="6240"/>
            <w:tcBorders>
              <w:top w:val="single" w:color="C5D8E8" w:sz="6"/>
              <w:left w:val="single" w:color="C5D8E8" w:sz="6"/>
              <w:bottom w:val="single" w:color="C5D8E8" w:sz="6"/>
              <w:right w:val="single" w:color="C5D8E8" w:sz="6"/>
            </w:tcBorders>
            <w:shd w:fill="EBF4FA" w:val="clear"/>
            <w:tcMar>
              <w:top w:type="dxa" w:w="80"/>
              <w:left w:type="dxa" w:w="160"/>
              <w:bottom w:type="dxa" w:w="80"/>
              <w:right w:type="dxa" w:w="120"/>
            </w:tcMar>
          </w:tcPr>
          <w:p>
            <w:r>
              <w:rPr>
                <w:rFonts w:ascii="Arial" w:cs="Arial" w:eastAsia="Arial" w:hAnsi="Arial"/>
                <w:color w:val="1A1A1A"/>
                <w:sz w:val="19"/>
                <w:szCs w:val="19"/>
              </w:rPr>
              <w:t xml:space="preserve">Prior to each engagement SOW execution</w:t>
            </w:r>
          </w:p>
        </w:tc>
      </w:tr>
    </w:tbl>
    <w:p>
      <w:pPr>
        <w:spacing w:after="0" w:before="20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3E0" w:sz="6" w:space="4"/>
      </w:pBdr>
      <w:tabs>
        <w:tab w:val="right" w:pos="9026"/>
      </w:tabs>
      <w:spacing w:after="0" w:before="120"/>
      <w:jc w:val="left"/>
    </w:pPr>
    <w:r>
      <w:rPr>
        <w:rFonts w:ascii="Arial" w:cs="Arial" w:eastAsia="Arial" w:hAnsi="Arial"/>
        <w:color w:val="666666"/>
        <w:sz w:val="16"/>
        <w:szCs w:val="16"/>
      </w:rPr>
      <w:t xml:space="preserve">© 2025 Everforth Consulting Services. All rights reserved.</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3E0" w:sz="6" w:space="4"/>
      </w:pBdr>
      <w:tabs>
        <w:tab w:val="right" w:pos="9026"/>
      </w:tabs>
      <w:spacing w:after="120" w:before="0"/>
    </w:pPr>
    <w:r>
      <w:rPr>
        <w:rFonts w:ascii="Arial" w:cs="Arial" w:eastAsia="Arial" w:hAnsi="Arial"/>
        <w:b/>
        <w:bCs/>
        <w:color w:val="1B3A6B"/>
        <w:sz w:val="16"/>
        <w:szCs w:val="16"/>
      </w:rPr>
      <w:t xml:space="preserve">EVERFORTH CONSULTING SERVICES</w:t>
    </w:r>
    <w:r>
      <w:rPr>
        <w:rFonts w:ascii="Arial" w:cs="Arial" w:eastAsia="Arial" w:hAnsi="Arial"/>
        <w:color w:val="666666"/>
        <w:sz w:val="16"/>
        <w:szCs w:val="16"/>
      </w:rPr>
      <w:t xml:space="preserve">	SOW Reference Language | Confidential –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2026-05-15T16:28:36.597Z</dcterms:created>
  <dcterms:modified xsi:type="dcterms:W3CDTF">2026-05-15T16:28:36.597Z</dcterms:modified>
</cp:coreProperties>
</file>

<file path=docProps/custom.xml><?xml version="1.0" encoding="utf-8"?>
<Properties xmlns="http://schemas.openxmlformats.org/officeDocument/2006/custom-properties" xmlns:vt="http://schemas.openxmlformats.org/officeDocument/2006/docPropsVTypes"/>
</file>