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A40F" w14:textId="77777777" w:rsidR="00B8038C" w:rsidRDefault="00000000">
      <w:r>
        <w:rPr>
          <w:noProof/>
        </w:rPr>
        <w:drawing>
          <wp:inline distT="0" distB="0" distL="0" distR="0" wp14:anchorId="03EAE710" wp14:editId="65AEF1C7">
            <wp:extent cx="2095500" cy="390525"/>
            <wp:effectExtent l="0" t="0" r="0" b="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390525"/>
                    </a:xfrm>
                    <a:prstGeom prst="rect">
                      <a:avLst/>
                    </a:prstGeom>
                  </pic:spPr>
                </pic:pic>
              </a:graphicData>
            </a:graphic>
          </wp:inline>
        </w:drawing>
      </w:r>
    </w:p>
    <w:p w14:paraId="0492AB32" w14:textId="77777777" w:rsidR="00B8038C" w:rsidRDefault="00000000">
      <w:pPr>
        <w:spacing w:before="1800" w:after="240"/>
      </w:pPr>
      <w:r>
        <w:rPr>
          <w:b/>
          <w:bCs/>
          <w:color w:val="14B8A6"/>
          <w:spacing w:val="80"/>
          <w:sz w:val="18"/>
          <w:szCs w:val="18"/>
        </w:rPr>
        <w:t>WHITE PAPER</w:t>
      </w:r>
    </w:p>
    <w:p w14:paraId="09BE452E" w14:textId="77777777" w:rsidR="00B8038C" w:rsidRDefault="00000000">
      <w:pPr>
        <w:spacing w:after="120"/>
      </w:pPr>
      <w:r>
        <w:rPr>
          <w:b/>
          <w:bCs/>
          <w:color w:val="0B1F3A"/>
          <w:sz w:val="56"/>
          <w:szCs w:val="56"/>
        </w:rPr>
        <w:t>Unlock the AI</w:t>
      </w:r>
    </w:p>
    <w:p w14:paraId="6370A909" w14:textId="77777777" w:rsidR="00B8038C" w:rsidRDefault="00000000">
      <w:pPr>
        <w:spacing w:after="120"/>
      </w:pPr>
      <w:r>
        <w:rPr>
          <w:b/>
          <w:bCs/>
          <w:color w:val="0B1F3A"/>
          <w:sz w:val="56"/>
          <w:szCs w:val="56"/>
        </w:rPr>
        <w:t>You've Already Bought</w:t>
      </w:r>
    </w:p>
    <w:p w14:paraId="7411A85D" w14:textId="77777777" w:rsidR="00B8038C" w:rsidRDefault="00000000">
      <w:pPr>
        <w:spacing w:after="480"/>
      </w:pPr>
      <w:r>
        <w:rPr>
          <w:i/>
          <w:iCs/>
          <w:color w:val="0D9488"/>
          <w:sz w:val="24"/>
          <w:szCs w:val="24"/>
        </w:rPr>
        <w:t>A ServiceNow OOTB-First approach to AI alignment and license realization</w:t>
      </w:r>
    </w:p>
    <w:p w14:paraId="6474FFC7" w14:textId="77777777" w:rsidR="00B8038C" w:rsidRDefault="00B8038C">
      <w:pPr>
        <w:pBdr>
          <w:bottom w:val="single" w:sz="12" w:space="1" w:color="14B8A6"/>
        </w:pBdr>
      </w:pPr>
    </w:p>
    <w:p w14:paraId="77856934" w14:textId="77777777" w:rsidR="00B8038C" w:rsidRDefault="00000000">
      <w:pPr>
        <w:spacing w:before="200" w:after="60"/>
      </w:pPr>
      <w:r>
        <w:rPr>
          <w:color w:val="1E293B"/>
        </w:rPr>
        <w:t>ECS Federal  ·  ServiceNow Practice</w:t>
      </w:r>
    </w:p>
    <w:p w14:paraId="5421F004" w14:textId="77777777" w:rsidR="00B8038C" w:rsidRDefault="00000000">
      <w:pPr>
        <w:spacing w:after="60"/>
      </w:pPr>
      <w:r>
        <w:rPr>
          <w:color w:val="1E293B"/>
        </w:rPr>
        <w:t>Audience: ServiceNow customers evaluating AI capabilities and license utilization</w:t>
      </w:r>
    </w:p>
    <w:p w14:paraId="3501BAAC" w14:textId="77777777" w:rsidR="00B8038C" w:rsidRDefault="00000000">
      <w:pPr>
        <w:spacing w:after="60"/>
      </w:pPr>
      <w:r>
        <w:rPr>
          <w:i/>
          <w:iCs/>
          <w:color w:val="475569"/>
          <w:sz w:val="18"/>
          <w:szCs w:val="18"/>
        </w:rPr>
        <w:t>Confidential</w:t>
      </w:r>
    </w:p>
    <w:p w14:paraId="1E631D92" w14:textId="77777777" w:rsidR="00B8038C" w:rsidRDefault="00B8038C">
      <w:pPr>
        <w:sectPr w:rsidR="00B8038C">
          <w:pgSz w:w="12240" w:h="15840"/>
          <w:pgMar w:top="1440" w:right="1440" w:bottom="1440" w:left="1440" w:header="708" w:footer="708" w:gutter="0"/>
          <w:cols w:space="720"/>
          <w:titlePg/>
          <w:docGrid w:linePitch="360"/>
        </w:sectPr>
      </w:pPr>
    </w:p>
    <w:p w14:paraId="5B722FA5" w14:textId="77777777" w:rsidR="00B8038C" w:rsidRDefault="00000000">
      <w:pPr>
        <w:pStyle w:val="Heading1"/>
      </w:pPr>
      <w:r>
        <w:lastRenderedPageBreak/>
        <w:t>Executive Summary</w:t>
      </w:r>
    </w:p>
    <w:p w14:paraId="469AC354" w14:textId="77777777" w:rsidR="00B8038C" w:rsidRDefault="00000000">
      <w:pPr>
        <w:spacing w:after="120"/>
      </w:pPr>
      <w:r>
        <w:rPr>
          <w:color w:val="1E293B"/>
        </w:rPr>
        <w:t>Most ServiceNow customers are sitting on more capability than they realize and more cost than they should. Across enterprise instances we have evaluated, 30 to 50 percent of licensed ServiceNow capability is idle — not because the platform is incomplete, but because years of customization have made the licensed capabilities unreachable. The AI features ServiceNow has released over the past 24 months — Now Assist, Agentic Agents, Predictive and Task Intelligence, AI Search, the Workflow Data Fabric — sharpen this gap. They are powerful capabilities customers have already paid for. They cannot be configured into instances that do not have a clean OOTB foundation underneath them.</w:t>
      </w:r>
    </w:p>
    <w:p w14:paraId="3A44470E" w14:textId="77777777" w:rsidR="00B8038C" w:rsidRDefault="00000000">
      <w:pPr>
        <w:spacing w:after="120"/>
      </w:pPr>
      <w:r>
        <w:rPr>
          <w:color w:val="1E293B"/>
        </w:rPr>
        <w:t>This paper describes the OOTB-first methodology ECS Federal's ServiceNow practice uses to close that gap. It is written for the IT and ServiceNow leaders who already suspect their license utilization is below where it should be, who have heard the AI pitch and know they own those SKUs, and who have not yet found a credible path from the platform they have today to the platform they purchased.</w:t>
      </w:r>
    </w:p>
    <w:p w14:paraId="6866C03F" w14:textId="77777777" w:rsidR="00B8038C" w:rsidRDefault="00000000">
      <w:pPr>
        <w:spacing w:after="120"/>
      </w:pPr>
      <w:r>
        <w:rPr>
          <w:color w:val="1E293B"/>
        </w:rPr>
        <w:t>The thesis is straightforward: AI capability requires a clean foundation. The fastest path to that foundation is a disciplined OOTB-first reset, governed by a small set of operational levers that protect the discipline from the daily pressure to add 'just one more' customization. The economic case is sized: license waste of $200K to $600K per year for an enterprise instance is conservative; the AI opportunity cost behind it can run to multiples of that. The implementation is not theoretical — it is a structured 18-week Phase 1 with measurable outcomes and an explicit roadmap into Phases 2 and 3 that compound the value.</w:t>
      </w:r>
    </w:p>
    <w:p w14:paraId="48EA1AC3" w14:textId="77777777" w:rsidR="00B8038C" w:rsidRDefault="00000000">
      <w:pPr>
        <w:spacing w:after="120"/>
      </w:pPr>
      <w:r>
        <w:rPr>
          <w:color w:val="1E293B"/>
        </w:rPr>
        <w:t>This paper does not argue that customization is bad. It argues that customization should be deliberate, governed, and rare — and that without that discipline, the AI capability investment is structurally trapped.</w:t>
      </w:r>
    </w:p>
    <w:p w14:paraId="58117791" w14:textId="77777777" w:rsidR="00B8038C" w:rsidRDefault="00000000">
      <w:r>
        <w:br w:type="page"/>
      </w:r>
    </w:p>
    <w:p w14:paraId="3124CF84" w14:textId="77777777" w:rsidR="00B8038C" w:rsidRDefault="00000000">
      <w:pPr>
        <w:pStyle w:val="Heading1"/>
      </w:pPr>
      <w:r>
        <w:lastRenderedPageBreak/>
        <w:t>1.  The State of ServiceNow Today</w:t>
      </w:r>
    </w:p>
    <w:p w14:paraId="6C39CC9F" w14:textId="77777777" w:rsidR="00B8038C" w:rsidRDefault="00000000">
      <w:pPr>
        <w:spacing w:after="120"/>
      </w:pPr>
      <w:r>
        <w:rPr>
          <w:color w:val="1E293B"/>
        </w:rPr>
        <w:t>ServiceNow has evolved significantly over the past five years. The core ITSM product has been joined by ITAM, ITOM, HRSD, CSM, IRM, and a substantial AI capability layer. The platform's ambition has scaled from "workflow automation" to "the operating system for digital business." That ambition has consequences for customers who built their existing instances under the older mental model.</w:t>
      </w:r>
    </w:p>
    <w:p w14:paraId="006BEF85" w14:textId="77777777" w:rsidR="00B8038C" w:rsidRDefault="00000000">
      <w:pPr>
        <w:pStyle w:val="Heading2"/>
      </w:pPr>
      <w:r>
        <w:t>1.1  How customizations accumulated</w:t>
      </w:r>
    </w:p>
    <w:p w14:paraId="47D06941" w14:textId="77777777" w:rsidR="00B8038C" w:rsidRDefault="00000000">
      <w:pPr>
        <w:spacing w:after="120"/>
      </w:pPr>
      <w:r>
        <w:rPr>
          <w:color w:val="1E293B"/>
        </w:rPr>
        <w:t>Most enterprise ServiceNow instances we evaluate followed a similar path. The original implementation, often three to seven years ago, was sized to replicate the legacy ITSM tool the customer was leaving behind. Customizations were added to preserve familiar workflows. As organizational complexity grew, more customizations were added — each one solving a real problem at the time. Custom Script Includes, Jelly and Angular UI modifications, custom CI classes, bespoke integrations, and homegrown reporting accumulated.</w:t>
      </w:r>
    </w:p>
    <w:p w14:paraId="2162B556" w14:textId="77777777" w:rsidR="00B8038C" w:rsidRDefault="00000000">
      <w:pPr>
        <w:spacing w:after="120"/>
      </w:pPr>
      <w:r>
        <w:rPr>
          <w:color w:val="1E293B"/>
        </w:rPr>
        <w:t>Each individual customization was justified. Together, they form what we call customization debt — a body of bespoke code and data structures that the platform cannot evolve around. Upgrades become painful. New ServiceNow features either don't apply or require additional engineering to integrate with the customizations already in place. The platform team begins to view ServiceNow as something to maintain rather than something to extend.</w:t>
      </w:r>
    </w:p>
    <w:p w14:paraId="62D37790" w14:textId="77777777" w:rsidR="00B8038C" w:rsidRDefault="00000000">
      <w:pPr>
        <w:pStyle w:val="Heading2"/>
      </w:pPr>
      <w:r>
        <w:t>1.2  Why this matters now</w:t>
      </w:r>
    </w:p>
    <w:p w14:paraId="659EA88D" w14:textId="77777777" w:rsidR="00B8038C" w:rsidRDefault="00000000">
      <w:pPr>
        <w:spacing w:after="120"/>
      </w:pPr>
      <w:r>
        <w:rPr>
          <w:color w:val="1E293B"/>
        </w:rPr>
        <w:t>ServiceNow's recent platform releases have shifted the cost-of-customization curve sharply. Previously, customizations cost the customer maintenance time and upgrade pain. Now they cost AI capability. Now Assist, Predictive Intelligence, AI Search, and Workflow Data Fabric all assume a clean, OOTB-aligned foundation. They cannot be configured around custom CI classes, custom workflow tables, or stale Knowledge Bases. The AI features are not weak; they are precise about what they can extend.</w:t>
      </w:r>
    </w:p>
    <w:p w14:paraId="12B50FE1" w14:textId="77777777" w:rsidR="00B8038C" w:rsidRDefault="00000000">
      <w:pPr>
        <w:spacing w:after="120"/>
      </w:pPr>
      <w:r>
        <w:rPr>
          <w:color w:val="1E293B"/>
        </w:rPr>
        <w:t>The customer who licensed Now Assist last year and is wondering why it isn't delivering value is, in most cases, looking at a foundation problem, not a product problem. The license is real. The capability is real. The instance underneath it is the gap.</w:t>
      </w:r>
    </w:p>
    <w:p w14:paraId="472ED85F" w14:textId="77777777" w:rsidR="00B8038C" w:rsidRDefault="00000000">
      <w:r>
        <w:br w:type="page"/>
      </w:r>
    </w:p>
    <w:p w14:paraId="6B2F7FBD" w14:textId="77777777" w:rsidR="00B8038C" w:rsidRDefault="00000000">
      <w:pPr>
        <w:pStyle w:val="Heading1"/>
      </w:pPr>
      <w:r>
        <w:lastRenderedPageBreak/>
        <w:t>2.  Quantifying the Cost</w:t>
      </w:r>
    </w:p>
    <w:p w14:paraId="18445D97" w14:textId="77777777" w:rsidR="00B8038C" w:rsidRDefault="00000000">
      <w:pPr>
        <w:spacing w:after="120"/>
      </w:pPr>
      <w:r>
        <w:rPr>
          <w:color w:val="1E293B"/>
        </w:rPr>
        <w:t>Customization debt has three distinct cost categories. Each one is independently large; together they make a compelling case for the OOTB-first reset.</w:t>
      </w:r>
    </w:p>
    <w:p w14:paraId="11C71AF0" w14:textId="77777777" w:rsidR="00B8038C" w:rsidRDefault="00000000">
      <w:pPr>
        <w:pStyle w:val="Heading2"/>
      </w:pPr>
      <w:r>
        <w:t>2.1  License waste</w:t>
      </w:r>
    </w:p>
    <w:p w14:paraId="1E611BB1" w14:textId="77777777" w:rsidR="00B8038C" w:rsidRDefault="00000000">
      <w:pPr>
        <w:spacing w:after="120"/>
      </w:pPr>
      <w:r>
        <w:rPr>
          <w:color w:val="1E293B"/>
        </w:rPr>
        <w:t>ServiceNow license bundles include capabilities that customers regularly do not use. Performance Analytics is licensed in ITSM Pro and is unconfigured in roughly half the instances we have seen. Predictive Intelligence requires a CSDM-aligned CMDB to deliver value; in instances with custom CI classes and orphaned records, it produces noise rather than insight and is quietly disabled. AI Search requires curated Knowledge Management; instances with thousands of stale or duplicate articles return wrong answers and lose user trust within weeks of go-live.</w:t>
      </w:r>
    </w:p>
    <w:p w14:paraId="0E70191D" w14:textId="77777777" w:rsidR="00B8038C" w:rsidRDefault="00000000">
      <w:pPr>
        <w:spacing w:after="120"/>
      </w:pPr>
      <w:r>
        <w:rPr>
          <w:color w:val="1E293B"/>
        </w:rPr>
        <w:t>Conservative range: $200,000 to $600,000 per year per enterprise instance in unrealized license value. Higher for customers with the AI bundle (Now Assist, Agentic Agents) where the per-user cost has been paid but the underlying foundation has not been built to support it.</w:t>
      </w:r>
    </w:p>
    <w:p w14:paraId="7D802FC5" w14:textId="77777777" w:rsidR="00B8038C" w:rsidRDefault="00000000">
      <w:pPr>
        <w:pStyle w:val="Heading2"/>
      </w:pPr>
      <w:r>
        <w:t>2.2  Maintenance burden</w:t>
      </w:r>
    </w:p>
    <w:p w14:paraId="39B58849" w14:textId="77777777" w:rsidR="00B8038C" w:rsidRDefault="00000000">
      <w:pPr>
        <w:spacing w:after="120"/>
      </w:pPr>
      <w:r>
        <w:rPr>
          <w:color w:val="1E293B"/>
        </w:rPr>
        <w:t>Customizations are not free to maintain. Custom Script Includes require ongoing test coverage. Jelly and Angular UI modifications require revision when ServiceNow's underlying frameworks change. Custom tables require migration scripts at every major version upgrade. Bespoke integrations require monitoring, error handling, and revalidation as source systems change. The platform team's calendar fills with maintenance work that, in an OOTB-aligned instance, would not exist.</w:t>
      </w:r>
    </w:p>
    <w:p w14:paraId="043A2BC5" w14:textId="77777777" w:rsidR="00B8038C" w:rsidRDefault="00000000">
      <w:pPr>
        <w:spacing w:after="120"/>
      </w:pPr>
      <w:r>
        <w:rPr>
          <w:color w:val="1E293B"/>
        </w:rPr>
        <w:t>Estimated range: $150,000 to $400,000 per year in carrying cost — typically loaded into a platform team headcount that could otherwise be working on capability expansion.</w:t>
      </w:r>
    </w:p>
    <w:p w14:paraId="46ADD079" w14:textId="77777777" w:rsidR="00B8038C" w:rsidRDefault="00000000">
      <w:pPr>
        <w:pStyle w:val="Heading2"/>
      </w:pPr>
      <w:r>
        <w:t>2.3  AI opportunity cost</w:t>
      </w:r>
    </w:p>
    <w:p w14:paraId="15239CBC" w14:textId="77777777" w:rsidR="00B8038C" w:rsidRDefault="00000000">
      <w:pPr>
        <w:spacing w:after="120"/>
      </w:pPr>
      <w:r>
        <w:rPr>
          <w:color w:val="1E293B"/>
        </w:rPr>
        <w:t>The largest cost is what is not happening. Every ticket Predictive Intelligence does not classify is a routing decision a human made. Every case Now Assist does not summarize is time a service-desk agent spent reading. Every search AI Search does not answer is a ticket that got opened. Every dashboard Performance Analytics does not produce is a decision made on intuition rather than data.</w:t>
      </w:r>
    </w:p>
    <w:p w14:paraId="1240858F" w14:textId="77777777" w:rsidR="00B8038C" w:rsidRDefault="00000000">
      <w:pPr>
        <w:spacing w:after="120"/>
      </w:pPr>
      <w:r>
        <w:rPr>
          <w:color w:val="1E293B"/>
        </w:rPr>
        <w:t>The opportunity cost compounds with scale. For an organization processing 50,000 incidents annually, even a modest 30 percent improvement in MTTR — readily achievable with a CSDM-clean CMDB plus OOTB Performance Analytics plus Predictive Intelligence — translates to material productivity recovery. We see customers measure this in the seven-figure range when they take it seriously.</w:t>
      </w:r>
    </w:p>
    <w:p w14:paraId="50506756" w14:textId="77777777" w:rsidR="00B8038C" w:rsidRDefault="00000000">
      <w:r>
        <w:br w:type="page"/>
      </w:r>
    </w:p>
    <w:p w14:paraId="37992469" w14:textId="77777777" w:rsidR="00B8038C" w:rsidRDefault="00000000">
      <w:pPr>
        <w:pStyle w:val="Heading1"/>
      </w:pPr>
      <w:r>
        <w:lastRenderedPageBreak/>
        <w:t>3.  The AI Imperative — and What It Requires</w:t>
      </w:r>
    </w:p>
    <w:p w14:paraId="0916A5A4" w14:textId="77777777" w:rsidR="00B8038C" w:rsidRDefault="00000000">
      <w:pPr>
        <w:spacing w:after="120"/>
      </w:pPr>
      <w:r>
        <w:rPr>
          <w:color w:val="1E293B"/>
        </w:rPr>
        <w:t>ServiceNow's AI capabilities are not incremental features — they represent the platform's fastest area of investment and the area most exposed to customization debt. Understanding what each capability requires is the starting point for understanding why OOTB-first is the prerequisite, not the constraint.</w:t>
      </w:r>
    </w:p>
    <w:p w14:paraId="44DD41B8" w14:textId="77777777" w:rsidR="00B8038C" w:rsidRDefault="00000000">
      <w:pPr>
        <w:pStyle w:val="Heading2"/>
      </w:pPr>
      <w:r>
        <w:t>3.1  The capability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3989"/>
        <w:gridCol w:w="3628"/>
      </w:tblGrid>
      <w:tr w:rsidR="00B8038C" w14:paraId="0A4EFA79" w14:textId="77777777">
        <w:tblPrEx>
          <w:tblCellMar>
            <w:top w:w="0" w:type="dxa"/>
            <w:bottom w:w="0" w:type="dxa"/>
          </w:tblCellMar>
        </w:tblPrEx>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772F1212" w14:textId="77777777" w:rsidR="00B8038C" w:rsidRDefault="00000000">
            <w:r>
              <w:rPr>
                <w:b/>
                <w:bCs/>
                <w:color w:val="FFFFFF"/>
              </w:rPr>
              <w:t>Capability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63D541C2" w14:textId="77777777" w:rsidR="00B8038C" w:rsidRDefault="00000000">
            <w:r>
              <w:rPr>
                <w:b/>
                <w:bCs/>
                <w:color w:val="FFFFFF"/>
              </w:rPr>
              <w:t>What it Does</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0748AE2F" w14:textId="77777777" w:rsidR="00B8038C" w:rsidRDefault="00000000">
            <w:r>
              <w:rPr>
                <w:b/>
                <w:bCs/>
                <w:color w:val="FFFFFF"/>
              </w:rPr>
              <w:t>What it Requires</w:t>
            </w:r>
          </w:p>
        </w:tc>
      </w:tr>
      <w:tr w:rsidR="00B8038C" w14:paraId="6AF12709"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2EBACAE" w14:textId="77777777" w:rsidR="00B8038C" w:rsidRDefault="00000000">
            <w:r>
              <w:rPr>
                <w:color w:val="1E293B"/>
                <w:sz w:val="20"/>
                <w:szCs w:val="20"/>
              </w:rPr>
              <w:t>Now Assist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64C55F1" w14:textId="77777777" w:rsidR="00B8038C" w:rsidRDefault="00000000">
            <w:r>
              <w:rPr>
                <w:color w:val="1E293B"/>
                <w:sz w:val="20"/>
                <w:szCs w:val="20"/>
              </w:rPr>
              <w:t>Generative AI for case summarization, knowledge generation, agent assist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989EA5F" w14:textId="77777777" w:rsidR="00B8038C" w:rsidRDefault="00000000">
            <w:r>
              <w:rPr>
                <w:color w:val="1E293B"/>
                <w:sz w:val="20"/>
                <w:szCs w:val="20"/>
              </w:rPr>
              <w:t>OOTB ITSM tables, curated KM, standard incident/case data</w:t>
            </w:r>
          </w:p>
        </w:tc>
      </w:tr>
      <w:tr w:rsidR="00B8038C" w14:paraId="07E71E48"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0736D05" w14:textId="77777777" w:rsidR="00B8038C" w:rsidRDefault="00000000">
            <w:r>
              <w:rPr>
                <w:color w:val="1E293B"/>
                <w:sz w:val="20"/>
                <w:szCs w:val="20"/>
              </w:rPr>
              <w:t>Predictive Intelligence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72A3042" w14:textId="77777777" w:rsidR="00B8038C" w:rsidRDefault="00000000">
            <w:r>
              <w:rPr>
                <w:color w:val="1E293B"/>
                <w:sz w:val="20"/>
                <w:szCs w:val="20"/>
              </w:rPr>
              <w:t>ML-based incident classification, assignment, resolution recommendations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88A2CD8" w14:textId="77777777" w:rsidR="00B8038C" w:rsidRDefault="00000000">
            <w:r>
              <w:rPr>
                <w:color w:val="1E293B"/>
                <w:sz w:val="20"/>
                <w:szCs w:val="20"/>
              </w:rPr>
              <w:t>CSDM-aligned CMDB, OOTB workflow data, sufficient history</w:t>
            </w:r>
          </w:p>
        </w:tc>
      </w:tr>
      <w:tr w:rsidR="00B8038C" w14:paraId="16CA75B6"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8817265" w14:textId="77777777" w:rsidR="00B8038C" w:rsidRDefault="00000000">
            <w:r>
              <w:rPr>
                <w:color w:val="1E293B"/>
                <w:sz w:val="20"/>
                <w:szCs w:val="20"/>
              </w:rPr>
              <w:t>AI Search</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90E560C" w14:textId="77777777" w:rsidR="00B8038C" w:rsidRDefault="00000000">
            <w:r>
              <w:rPr>
                <w:color w:val="1E293B"/>
                <w:sz w:val="20"/>
                <w:szCs w:val="20"/>
              </w:rPr>
              <w:t>Semantic search across KM, catalog, tickets — foundation for self-service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607DD88" w14:textId="77777777" w:rsidR="00B8038C" w:rsidRDefault="00000000">
            <w:r>
              <w:rPr>
                <w:color w:val="1E293B"/>
                <w:sz w:val="20"/>
                <w:szCs w:val="20"/>
              </w:rPr>
              <w:t>Curated KM with categories and audiences; OOTB indexing</w:t>
            </w:r>
          </w:p>
        </w:tc>
      </w:tr>
      <w:tr w:rsidR="00B8038C" w14:paraId="405F496B"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0128FA5" w14:textId="77777777" w:rsidR="00B8038C" w:rsidRDefault="00000000">
            <w:r>
              <w:rPr>
                <w:color w:val="1E293B"/>
                <w:sz w:val="20"/>
                <w:szCs w:val="20"/>
              </w:rPr>
              <w:t>Virtual Agent</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31DA68E" w14:textId="77777777" w:rsidR="00B8038C" w:rsidRDefault="00000000">
            <w:r>
              <w:rPr>
                <w:color w:val="1E293B"/>
                <w:sz w:val="20"/>
                <w:szCs w:val="20"/>
              </w:rPr>
              <w:t>Conversational interface for self-service, ticket creation, password reset</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38B4191" w14:textId="77777777" w:rsidR="00B8038C" w:rsidRDefault="00000000">
            <w:r>
              <w:rPr>
                <w:color w:val="1E293B"/>
                <w:sz w:val="20"/>
                <w:szCs w:val="20"/>
              </w:rPr>
              <w:t>OOTB intents, catalog items, KM articles for topic blocks</w:t>
            </w:r>
          </w:p>
        </w:tc>
      </w:tr>
      <w:tr w:rsidR="00B8038C" w14:paraId="167CD695"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2905D86" w14:textId="77777777" w:rsidR="00B8038C" w:rsidRDefault="00000000">
            <w:r>
              <w:rPr>
                <w:color w:val="1E293B"/>
                <w:sz w:val="20"/>
                <w:szCs w:val="20"/>
              </w:rPr>
              <w:t>Performance Analytics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609461" w14:textId="77777777" w:rsidR="00B8038C" w:rsidRDefault="00000000">
            <w:r>
              <w:rPr>
                <w:color w:val="1E293B"/>
                <w:sz w:val="20"/>
                <w:szCs w:val="20"/>
              </w:rPr>
              <w:t>Trend-based KPI tracking, scoring, forecasting</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F2917A4" w14:textId="77777777" w:rsidR="00B8038C" w:rsidRDefault="00000000">
            <w:r>
              <w:rPr>
                <w:color w:val="1E293B"/>
                <w:sz w:val="20"/>
                <w:szCs w:val="20"/>
              </w:rPr>
              <w:t>OOTB indicators, standard data model, sufficient breadth</w:t>
            </w:r>
          </w:p>
        </w:tc>
      </w:tr>
      <w:tr w:rsidR="00B8038C" w14:paraId="6075FBCB"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E40CA1A" w14:textId="77777777" w:rsidR="00B8038C" w:rsidRDefault="00000000">
            <w:r>
              <w:rPr>
                <w:color w:val="1E293B"/>
                <w:sz w:val="20"/>
                <w:szCs w:val="20"/>
              </w:rPr>
              <w:t>Workflow Data Fabric</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6961539" w14:textId="77777777" w:rsidR="00B8038C" w:rsidRDefault="00000000">
            <w:r>
              <w:rPr>
                <w:color w:val="1E293B"/>
                <w:sz w:val="20"/>
                <w:szCs w:val="20"/>
              </w:rPr>
              <w:t>Zero-copy data integration across external systems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6B8F403" w14:textId="77777777" w:rsidR="00B8038C" w:rsidRDefault="00000000">
            <w:r>
              <w:rPr>
                <w:color w:val="1E293B"/>
                <w:sz w:val="20"/>
                <w:szCs w:val="20"/>
              </w:rPr>
              <w:t>OOTB connector framework, normalized service taxonomy</w:t>
            </w:r>
          </w:p>
        </w:tc>
      </w:tr>
      <w:tr w:rsidR="00B8038C" w14:paraId="7A67BF82"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9497962" w14:textId="77777777" w:rsidR="00B8038C" w:rsidRDefault="00000000">
            <w:r>
              <w:rPr>
                <w:color w:val="1E293B"/>
                <w:sz w:val="20"/>
                <w:szCs w:val="20"/>
              </w:rPr>
              <w:t>Process Mining</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C267E4" w14:textId="77777777" w:rsidR="00B8038C" w:rsidRDefault="00000000">
            <w:r>
              <w:rPr>
                <w:color w:val="1E293B"/>
                <w:sz w:val="20"/>
                <w:szCs w:val="20"/>
              </w:rPr>
              <w:t>Discover actual process behavior; find optimization opportunities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7184DA6" w14:textId="77777777" w:rsidR="00B8038C" w:rsidRDefault="00000000">
            <w:r>
              <w:rPr>
                <w:color w:val="1E293B"/>
                <w:sz w:val="20"/>
                <w:szCs w:val="20"/>
              </w:rPr>
              <w:t>OOTB process tables, complete audit trail, no broken history</w:t>
            </w:r>
          </w:p>
        </w:tc>
      </w:tr>
      <w:tr w:rsidR="00B8038C" w14:paraId="62F60B13"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92AC5D9" w14:textId="77777777" w:rsidR="00B8038C" w:rsidRDefault="00000000">
            <w:r>
              <w:rPr>
                <w:color w:val="1E293B"/>
                <w:sz w:val="20"/>
                <w:szCs w:val="20"/>
              </w:rPr>
              <w:t>Agentic Agents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8F51E20" w14:textId="77777777" w:rsidR="00B8038C" w:rsidRDefault="00000000">
            <w:r>
              <w:rPr>
                <w:color w:val="1E293B"/>
                <w:sz w:val="20"/>
                <w:szCs w:val="20"/>
              </w:rPr>
              <w:t>Autonomous AI agents that take action across workflows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E919B0C" w14:textId="77777777" w:rsidR="00B8038C" w:rsidRDefault="00000000">
            <w:r>
              <w:rPr>
                <w:color w:val="1E293B"/>
                <w:sz w:val="20"/>
                <w:szCs w:val="20"/>
              </w:rPr>
              <w:t>OOTB workflow patterns, well-defined boundaries, clean access model</w:t>
            </w:r>
          </w:p>
        </w:tc>
      </w:tr>
    </w:tbl>
    <w:p w14:paraId="1413D184" w14:textId="77777777" w:rsidR="00B8038C" w:rsidRDefault="00000000">
      <w:pPr>
        <w:pStyle w:val="Heading2"/>
      </w:pPr>
      <w:r>
        <w:t>3.2  The four common requirements</w:t>
      </w:r>
    </w:p>
    <w:p w14:paraId="575960DC" w14:textId="77777777" w:rsidR="00B8038C" w:rsidRDefault="00000000">
      <w:pPr>
        <w:spacing w:after="120"/>
      </w:pPr>
      <w:r>
        <w:rPr>
          <w:color w:val="1E293B"/>
        </w:rPr>
        <w:t>Across all of these capabilities, the requirements collapse to four foundations:</w:t>
      </w:r>
    </w:p>
    <w:p w14:paraId="1AE5C2B3" w14:textId="77777777" w:rsidR="00B8038C" w:rsidRDefault="00000000">
      <w:pPr>
        <w:pStyle w:val="ListParagraph"/>
        <w:numPr>
          <w:ilvl w:val="0"/>
          <w:numId w:val="2"/>
        </w:numPr>
        <w:spacing w:after="60"/>
      </w:pPr>
      <w:r>
        <w:rPr>
          <w:color w:val="1E293B"/>
        </w:rPr>
        <w:t>CSDM-aligned, normalized CMDB. Predictive Intelligence and Now Assist learn from CI relationships. Custom CI classes and orphan records produce noise.</w:t>
      </w:r>
    </w:p>
    <w:p w14:paraId="7B6AFA48" w14:textId="77777777" w:rsidR="00B8038C" w:rsidRDefault="00000000">
      <w:pPr>
        <w:pStyle w:val="ListParagraph"/>
        <w:numPr>
          <w:ilvl w:val="0"/>
          <w:numId w:val="2"/>
        </w:numPr>
        <w:spacing w:after="60"/>
      </w:pPr>
      <w:r>
        <w:rPr>
          <w:color w:val="1E293B"/>
        </w:rPr>
        <w:t>OOTB workflows the AI can extend. AI capabilities plug into standard workflow patterns. Custom workflows lock the AI out — there is no API or pattern for it to extend.</w:t>
      </w:r>
    </w:p>
    <w:p w14:paraId="52109145" w14:textId="77777777" w:rsidR="00B8038C" w:rsidRDefault="00000000">
      <w:pPr>
        <w:pStyle w:val="ListParagraph"/>
        <w:numPr>
          <w:ilvl w:val="0"/>
          <w:numId w:val="2"/>
        </w:numPr>
        <w:spacing w:after="60"/>
      </w:pPr>
      <w:r>
        <w:rPr>
          <w:color w:val="1E293B"/>
        </w:rPr>
        <w:t>Curated Knowledge Base. AI Search and Virtual Agent can only return what they can find. Stale or duplicate articles mean wrong answers, not no answers.</w:t>
      </w:r>
    </w:p>
    <w:p w14:paraId="60A1DA4F" w14:textId="77777777" w:rsidR="00B8038C" w:rsidRDefault="00000000">
      <w:pPr>
        <w:pStyle w:val="ListParagraph"/>
        <w:numPr>
          <w:ilvl w:val="0"/>
          <w:numId w:val="2"/>
        </w:numPr>
        <w:spacing w:after="60"/>
      </w:pPr>
      <w:r>
        <w:rPr>
          <w:color w:val="1E293B"/>
        </w:rPr>
        <w:t>Standard data model. Workflow Data Fabric and Process Mining work against standard tables. Custom tables hide data from the analytics that depend on it.</w:t>
      </w:r>
    </w:p>
    <w:p w14:paraId="3C40E529" w14:textId="77777777" w:rsidR="00B8038C" w:rsidRDefault="00000000">
      <w:pPr>
        <w:spacing w:after="120"/>
      </w:pPr>
      <w:r>
        <w:rPr>
          <w:color w:val="1E293B"/>
        </w:rPr>
        <w:t>Customers who try to enable AI capabilities on top of a customized instance discover this slowly and painfully — often after the licensing decision has been made and the budget is committed. The reset describes how to put the foundation right.</w:t>
      </w:r>
    </w:p>
    <w:p w14:paraId="569CC766" w14:textId="4DC6517D" w:rsidR="00B8038C" w:rsidRDefault="00000000" w:rsidP="003B379A">
      <w:r>
        <w:br w:type="page"/>
      </w:r>
      <w:r>
        <w:rPr>
          <w:b/>
          <w:bCs/>
          <w:color w:val="0B1F3A"/>
          <w:sz w:val="32"/>
          <w:szCs w:val="32"/>
        </w:rPr>
        <w:lastRenderedPageBreak/>
        <w:t>4.  The OOTB-First Methodology</w:t>
      </w:r>
    </w:p>
    <w:p w14:paraId="579A6F64" w14:textId="77777777" w:rsidR="00B8038C" w:rsidRDefault="00000000">
      <w:pPr>
        <w:spacing w:after="120"/>
      </w:pPr>
      <w:r>
        <w:rPr>
          <w:color w:val="1E293B"/>
        </w:rPr>
        <w:t>OOTB-first is a methodology, not a slogan. It rests on a single principle and five operational levers. The principle alone is insufficient — without the levers, OOTB-first erodes within weeks of engagement start as legacy patterns reassert themselves. With the levers, the discipline is enforceable engagement-over-engagement.</w:t>
      </w:r>
    </w:p>
    <w:p w14:paraId="5AB03947" w14:textId="77777777" w:rsidR="00B8038C" w:rsidRDefault="00000000">
      <w:pPr>
        <w:pStyle w:val="Heading2"/>
      </w:pPr>
      <w:r>
        <w:t>4.1  The principle</w:t>
      </w:r>
    </w:p>
    <w:p w14:paraId="35922C7D" w14:textId="77777777" w:rsidR="00B8038C" w:rsidRDefault="00000000">
      <w:pPr>
        <w:spacing w:after="120"/>
      </w:pPr>
      <w:r>
        <w:rPr>
          <w:color w:val="1E293B"/>
        </w:rPr>
        <w:t>Every requirement starts with the OOTB pattern. Customization is the exception, not the default. The principle does not assert that customization is wrong; it asserts that the burden of proof rests on the customization, not on OOTB.</w:t>
      </w:r>
    </w:p>
    <w:p w14:paraId="43C18D21" w14:textId="77777777" w:rsidR="00B8038C" w:rsidRDefault="00000000">
      <w:pPr>
        <w:pStyle w:val="Heading2"/>
      </w:pPr>
      <w:r>
        <w:t>4.2  The five levers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7576"/>
      </w:tblGrid>
      <w:tr w:rsidR="00B8038C" w14:paraId="64C9D6D9" w14:textId="77777777">
        <w:tblPrEx>
          <w:tblCellMar>
            <w:top w:w="0" w:type="dxa"/>
            <w:bottom w:w="0" w:type="dxa"/>
          </w:tblCellMar>
        </w:tblPrEx>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734FFD08" w14:textId="77777777" w:rsidR="00B8038C" w:rsidRDefault="00000000">
            <w:r>
              <w:rPr>
                <w:b/>
                <w:bCs/>
                <w:color w:val="FFFFFF"/>
              </w:rPr>
              <w:t>Lever</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5EAB1823" w14:textId="77777777" w:rsidR="00B8038C" w:rsidRDefault="00000000">
            <w:r>
              <w:rPr>
                <w:b/>
                <w:bCs/>
                <w:color w:val="FFFFFF"/>
              </w:rPr>
              <w:t>Function</w:t>
            </w:r>
          </w:p>
        </w:tc>
      </w:tr>
      <w:tr w:rsidR="00B8038C" w14:paraId="1B218F69"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E441E65" w14:textId="77777777" w:rsidR="00B8038C" w:rsidRDefault="00000000">
            <w:r>
              <w:rPr>
                <w:color w:val="1E293B"/>
                <w:sz w:val="20"/>
                <w:szCs w:val="20"/>
              </w:rPr>
              <w:t>Rule of Three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64EE130" w14:textId="77777777" w:rsidR="00B8038C" w:rsidRDefault="00000000">
            <w:r>
              <w:rPr>
                <w:color w:val="1E293B"/>
                <w:sz w:val="20"/>
                <w:szCs w:val="20"/>
              </w:rPr>
              <w:t>Triage filter applied to every requirement: Configuration, UI Policy, or Flow Designer first. If the requirement fits, no deviation is needed.</w:t>
            </w:r>
          </w:p>
        </w:tc>
      </w:tr>
      <w:tr w:rsidR="00B8038C" w14:paraId="6190D33C"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1875F9F" w14:textId="77777777" w:rsidR="00B8038C" w:rsidRDefault="00000000">
            <w:r>
              <w:rPr>
                <w:color w:val="1E293B"/>
                <w:sz w:val="20"/>
                <w:szCs w:val="20"/>
              </w:rPr>
              <w:t>Just-in-Time Workshops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16C449B" w14:textId="77777777" w:rsidR="00B8038C" w:rsidRDefault="00000000">
            <w:r>
              <w:rPr>
                <w:color w:val="1E293B"/>
                <w:sz w:val="20"/>
                <w:szCs w:val="20"/>
              </w:rPr>
              <w:t>Five workshop tiers (Accelerator Pack, CSDM, Reporting, Process OOTB Alignment, Integration) timed to feed the active sprint, not stockpiled as theoretical design.</w:t>
            </w:r>
          </w:p>
        </w:tc>
      </w:tr>
      <w:tr w:rsidR="00B8038C" w14:paraId="70159C3D"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C04986A" w14:textId="77777777" w:rsidR="00B8038C" w:rsidRDefault="00000000">
            <w:r>
              <w:rPr>
                <w:color w:val="1E293B"/>
                <w:sz w:val="20"/>
                <w:szCs w:val="20"/>
              </w:rPr>
              <w:t>Governance Board</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757D867" w14:textId="77777777" w:rsidR="00B8038C" w:rsidRDefault="00000000">
            <w:r>
              <w:rPr>
                <w:color w:val="1E293B"/>
                <w:sz w:val="20"/>
                <w:szCs w:val="20"/>
              </w:rPr>
              <w:t>Two-key approval for any genuine deviation: Sponsor approves the business need; ECS Practice Lead approves the technical path. Both keys turn or it does not move.</w:t>
            </w:r>
          </w:p>
        </w:tc>
      </w:tr>
      <w:tr w:rsidR="00B8038C" w14:paraId="09B8CDBA"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817D28A" w14:textId="77777777" w:rsidR="00B8038C" w:rsidRDefault="00000000">
            <w:r>
              <w:rPr>
                <w:color w:val="1E293B"/>
                <w:sz w:val="20"/>
                <w:szCs w:val="20"/>
              </w:rPr>
              <w:t>Governance Triage Log</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4F4ADB6" w14:textId="77777777" w:rsidR="00B8038C" w:rsidRDefault="00000000">
            <w:r>
              <w:rPr>
                <w:color w:val="1E293B"/>
                <w:sz w:val="20"/>
                <w:szCs w:val="20"/>
              </w:rPr>
              <w:t>Single source of truth for all OOTB-compliance decisions. Every deviation logged within 24 hours, transparent to both sides.</w:t>
            </w:r>
          </w:p>
        </w:tc>
      </w:tr>
      <w:tr w:rsidR="00B8038C" w14:paraId="4837BB64"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1B90B4D" w14:textId="77777777" w:rsidR="00B8038C" w:rsidRDefault="00000000">
            <w:r>
              <w:rPr>
                <w:color w:val="1E293B"/>
                <w:sz w:val="20"/>
                <w:szCs w:val="20"/>
              </w:rPr>
              <w:t>PCR Triggers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F33B54" w14:textId="77777777" w:rsidR="00B8038C" w:rsidRDefault="00000000">
            <w:r>
              <w:rPr>
                <w:color w:val="1E293B"/>
                <w:sz w:val="20"/>
                <w:szCs w:val="20"/>
              </w:rPr>
              <w:t>Six contractual safety valves raised early when scope or dependencies move — not absorbed silently.</w:t>
            </w:r>
          </w:p>
        </w:tc>
      </w:tr>
    </w:tbl>
    <w:p w14:paraId="1D1CB5D0" w14:textId="77777777" w:rsidR="00B8038C" w:rsidRDefault="00000000">
      <w:pPr>
        <w:pStyle w:val="Heading2"/>
      </w:pPr>
      <w:r>
        <w:t>4.3  How the levers protect the discipline</w:t>
      </w:r>
    </w:p>
    <w:p w14:paraId="7177A5CE" w14:textId="77777777" w:rsidR="00B8038C" w:rsidRDefault="00000000">
      <w:pPr>
        <w:spacing w:after="120"/>
      </w:pPr>
      <w:r>
        <w:rPr>
          <w:color w:val="1E293B"/>
        </w:rPr>
        <w:t>The Rule of Three filters most requests before they become deviation conversations. The workshop pattern surfaces customization requests in a structured environment where OOTB alternatives can be demonstrated against the customer's own data. The Governance Board ensures no customization is built without explicit dual approval. The Triage Log provides transparency that builds trust. The PCR triggers ensure that scope and dependency changes are surfaced early, when they can be addressed, rather than absorbed silently and discovered late.</w:t>
      </w:r>
    </w:p>
    <w:p w14:paraId="1620C759" w14:textId="77777777" w:rsidR="00B8038C" w:rsidRDefault="00000000">
      <w:pPr>
        <w:spacing w:after="120"/>
      </w:pPr>
      <w:r>
        <w:rPr>
          <w:color w:val="1E293B"/>
        </w:rPr>
        <w:t>Together these levers turn a stated principle into a daily operating model. None of them are unique to ECS. The differentiation is the discipline of applying them every time, and the practice infrastructure that holds the team accountable when applying them gets uncomfortable.</w:t>
      </w:r>
    </w:p>
    <w:p w14:paraId="028C7063" w14:textId="77777777" w:rsidR="00B8038C" w:rsidRDefault="00000000">
      <w:r>
        <w:br w:type="page"/>
      </w:r>
    </w:p>
    <w:p w14:paraId="60C02B47" w14:textId="77777777" w:rsidR="00B8038C" w:rsidRDefault="00000000">
      <w:pPr>
        <w:pStyle w:val="Heading1"/>
      </w:pPr>
      <w:r>
        <w:lastRenderedPageBreak/>
        <w:t>5.  Realizing License Value</w:t>
      </w:r>
    </w:p>
    <w:p w14:paraId="47492E2B" w14:textId="77777777" w:rsidR="00B8038C" w:rsidRDefault="00000000">
      <w:pPr>
        <w:spacing w:after="120"/>
      </w:pPr>
      <w:r>
        <w:rPr>
          <w:color w:val="1E293B"/>
        </w:rPr>
        <w:t>The OOTB-first methodology converts foundation work into license realization. The mechanism is straightforward: each capability that requires a clean foundation gets one as part of Phase 1, and is configured and adopted as a deliverable, not a follow-on.</w:t>
      </w:r>
    </w:p>
    <w:p w14:paraId="5D7CFD43" w14:textId="77777777" w:rsidR="00B8038C" w:rsidRDefault="00000000">
      <w:pPr>
        <w:pStyle w:val="Heading2"/>
      </w:pPr>
      <w:r>
        <w:t>5.1  Capability-by-capability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6997"/>
      </w:tblGrid>
      <w:tr w:rsidR="00B8038C" w14:paraId="5652E78D" w14:textId="77777777">
        <w:tblPrEx>
          <w:tblCellMar>
            <w:top w:w="0" w:type="dxa"/>
            <w:bottom w:w="0" w:type="dxa"/>
          </w:tblCellMar>
        </w:tblPrEx>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1F0CE4C9" w14:textId="77777777" w:rsidR="00B8038C" w:rsidRDefault="00000000">
            <w:r>
              <w:rPr>
                <w:b/>
                <w:bCs/>
                <w:color w:val="FFFFFF"/>
              </w:rPr>
              <w:t>Capability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4CB1A6A5" w14:textId="77777777" w:rsidR="00B8038C" w:rsidRDefault="00000000">
            <w:r>
              <w:rPr>
                <w:b/>
                <w:bCs/>
                <w:color w:val="FFFFFF"/>
              </w:rPr>
              <w:t>How Phase 1 Realizes It</w:t>
            </w:r>
          </w:p>
        </w:tc>
      </w:tr>
      <w:tr w:rsidR="00B8038C" w14:paraId="3BFC041F"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589DD5F" w14:textId="77777777" w:rsidR="00B8038C" w:rsidRDefault="00000000">
            <w:r>
              <w:rPr>
                <w:color w:val="1E293B"/>
                <w:sz w:val="20"/>
                <w:szCs w:val="20"/>
              </w:rPr>
              <w:t>Performance Analytics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4FE547C" w14:textId="77777777" w:rsidR="00B8038C" w:rsidRDefault="00000000">
            <w:r>
              <w:rPr>
                <w:color w:val="1E293B"/>
                <w:sz w:val="20"/>
                <w:szCs w:val="20"/>
              </w:rPr>
              <w:t>Phase 1 stands up dashboards for MTTR, SLA attainment, change-success rate, and operational KPIs. The capability moves from licensed to live.</w:t>
            </w:r>
          </w:p>
        </w:tc>
      </w:tr>
      <w:tr w:rsidR="00B8038C" w14:paraId="238360AC"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E36E264" w14:textId="77777777" w:rsidR="00B8038C" w:rsidRDefault="00000000">
            <w:r>
              <w:rPr>
                <w:color w:val="1E293B"/>
                <w:sz w:val="20"/>
                <w:szCs w:val="20"/>
              </w:rPr>
              <w:t>Predictive Intelligence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A97FAF5" w14:textId="77777777" w:rsidR="00B8038C" w:rsidRDefault="00000000">
            <w:r>
              <w:rPr>
                <w:color w:val="1E293B"/>
                <w:sz w:val="20"/>
                <w:szCs w:val="20"/>
              </w:rPr>
              <w:t>CSDM-aligned CMDB and OOTB workflow data give Predictive Intelligence the inputs it needs. Initial classification and assignment models train during Phase 1.</w:t>
            </w:r>
          </w:p>
        </w:tc>
      </w:tr>
      <w:tr w:rsidR="00B8038C" w14:paraId="6559D3F0"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206DE5" w14:textId="77777777" w:rsidR="00B8038C" w:rsidRDefault="00000000">
            <w:r>
              <w:rPr>
                <w:color w:val="1E293B"/>
                <w:sz w:val="20"/>
                <w:szCs w:val="20"/>
              </w:rPr>
              <w:t>AI Search</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24A1A4" w14:textId="77777777" w:rsidR="00B8038C" w:rsidRDefault="00000000">
            <w:r>
              <w:rPr>
                <w:color w:val="1E293B"/>
                <w:sz w:val="20"/>
                <w:szCs w:val="20"/>
              </w:rPr>
              <w:t>KM workstream curates and ports articles, retiring stale content. AI Search returns useful results from day one of go-live.</w:t>
            </w:r>
          </w:p>
        </w:tc>
      </w:tr>
      <w:tr w:rsidR="00B8038C" w14:paraId="2B46674C"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42249A58" w14:textId="77777777" w:rsidR="00B8038C" w:rsidRDefault="00000000">
            <w:r>
              <w:rPr>
                <w:color w:val="1E293B"/>
                <w:sz w:val="20"/>
                <w:szCs w:val="20"/>
              </w:rPr>
              <w:t>Virtual Agent</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1141FAFD" w14:textId="77777777" w:rsidR="00B8038C" w:rsidRDefault="00000000">
            <w:r>
              <w:rPr>
                <w:color w:val="1E293B"/>
                <w:sz w:val="20"/>
                <w:szCs w:val="20"/>
              </w:rPr>
              <w:t>Initial topic blocks deployed in Phase 1 cover the highest-volume self-service interactions. Expansion is a Phase 2 deliverable.</w:t>
            </w:r>
          </w:p>
        </w:tc>
      </w:tr>
      <w:tr w:rsidR="00B8038C" w14:paraId="43F9EAA3"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6F5889B" w14:textId="77777777" w:rsidR="00B8038C" w:rsidRDefault="00000000">
            <w:r>
              <w:rPr>
                <w:color w:val="1E293B"/>
                <w:sz w:val="20"/>
                <w:szCs w:val="20"/>
              </w:rPr>
              <w:t>Modern Employee Center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4866C69" w14:textId="77777777" w:rsidR="00B8038C" w:rsidRDefault="00000000">
            <w:r>
              <w:rPr>
                <w:color w:val="1E293B"/>
                <w:sz w:val="20"/>
                <w:szCs w:val="20"/>
              </w:rPr>
              <w:t>Replaces legacy portals. Curated catalog and KM make self-service viable for the first time.</w:t>
            </w:r>
          </w:p>
        </w:tc>
      </w:tr>
      <w:tr w:rsidR="00B8038C" w14:paraId="75E2483B"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5AB37AB" w14:textId="77777777" w:rsidR="00B8038C" w:rsidRDefault="00000000">
            <w:r>
              <w:rPr>
                <w:color w:val="1E293B"/>
                <w:sz w:val="20"/>
                <w:szCs w:val="20"/>
              </w:rPr>
              <w:t>Now Assist</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4838DC2" w14:textId="77777777" w:rsidR="00B8038C" w:rsidRDefault="00000000">
            <w:r>
              <w:rPr>
                <w:color w:val="1E293B"/>
                <w:sz w:val="20"/>
                <w:szCs w:val="20"/>
              </w:rPr>
              <w:t>Built on the foundation; meaningful value requires Phase 1 to land first. Initial Now Assist activations possible in Phase 2.</w:t>
            </w:r>
          </w:p>
        </w:tc>
      </w:tr>
      <w:tr w:rsidR="00B8038C" w14:paraId="4DB5866F"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4F9E9E9" w14:textId="77777777" w:rsidR="00B8038C" w:rsidRDefault="00000000">
            <w:r>
              <w:rPr>
                <w:color w:val="1E293B"/>
                <w:sz w:val="20"/>
                <w:szCs w:val="20"/>
              </w:rPr>
              <w:t>Workflow Data Fabric / Agentic Agents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8F4778" w14:textId="77777777" w:rsidR="00B8038C" w:rsidRDefault="00000000">
            <w:r>
              <w:rPr>
                <w:color w:val="1E293B"/>
                <w:sz w:val="20"/>
                <w:szCs w:val="20"/>
              </w:rPr>
              <w:t>Phase 3 horizon — the foundations laid in Phase 1 and 2 are the prerequisites.</w:t>
            </w:r>
          </w:p>
        </w:tc>
      </w:tr>
    </w:tbl>
    <w:p w14:paraId="47F320E0" w14:textId="77777777" w:rsidR="00B8038C" w:rsidRDefault="00000000">
      <w:pPr>
        <w:pStyle w:val="Heading2"/>
      </w:pPr>
      <w:r>
        <w:t>5.2  Adoption is the multiplier</w:t>
      </w:r>
    </w:p>
    <w:p w14:paraId="554105F8" w14:textId="77777777" w:rsidR="00B8038C" w:rsidRDefault="00000000">
      <w:pPr>
        <w:spacing w:after="120"/>
      </w:pPr>
      <w:r>
        <w:rPr>
          <w:color w:val="1E293B"/>
        </w:rPr>
        <w:t>Realization is not just configuration; it is configuration plus adoption. Adoption is owned by the customer's organizational change management function. ECS provides the knowledge transfer, training materials, and admin enablement; the customer owns the rollout, communications, and adoption metrics. This division of responsibility is named explicitly in the engagement governance, because adoption assumed and adoption owned have very different outcomes.</w:t>
      </w:r>
    </w:p>
    <w:p w14:paraId="3A8ED7B5" w14:textId="77777777" w:rsidR="00B8038C" w:rsidRDefault="00000000">
      <w:r>
        <w:br w:type="page"/>
      </w:r>
    </w:p>
    <w:p w14:paraId="14F601B7" w14:textId="77777777" w:rsidR="00B8038C" w:rsidRDefault="00000000">
      <w:pPr>
        <w:pStyle w:val="Heading1"/>
      </w:pPr>
      <w:r>
        <w:lastRenderedPageBreak/>
        <w:t>6.  Implementation Path — Phase 1 in 18 Weeks</w:t>
      </w:r>
    </w:p>
    <w:p w14:paraId="3CAC7D7B" w14:textId="77777777" w:rsidR="00B8038C" w:rsidRDefault="00000000">
      <w:pPr>
        <w:pStyle w:val="Heading2"/>
      </w:pPr>
      <w:r>
        <w:t>6.1  The structure</w:t>
      </w:r>
    </w:p>
    <w:p w14:paraId="4056B3C5" w14:textId="77777777" w:rsidR="00B8038C" w:rsidRDefault="00000000">
      <w:pPr>
        <w:spacing w:after="120"/>
      </w:pPr>
      <w:r>
        <w:rPr>
          <w:color w:val="1E293B"/>
        </w:rPr>
        <w:t>Phase 1 is a structured 18-week engagement: 16 weeks of build plus 2 weeks of Hypercare. The cadence is iterative agile (2-week sprints) with a Sprint 0 dedicated to alignment, governance setup, and foundation data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889"/>
        <w:gridCol w:w="6479"/>
      </w:tblGrid>
      <w:tr w:rsidR="00B8038C" w14:paraId="5321642A" w14:textId="77777777">
        <w:tblPrEx>
          <w:tblCellMar>
            <w:top w:w="0" w:type="dxa"/>
            <w:bottom w:w="0" w:type="dxa"/>
          </w:tblCellMar>
        </w:tblPrEx>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593B6F78" w14:textId="77777777" w:rsidR="00B8038C" w:rsidRDefault="00000000">
            <w:r>
              <w:rPr>
                <w:b/>
                <w:bCs/>
                <w:color w:val="FFFFFF"/>
              </w:rPr>
              <w:t>Month</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583045CE" w14:textId="77777777" w:rsidR="00B8038C" w:rsidRDefault="00000000">
            <w:r>
              <w:rPr>
                <w:b/>
                <w:bCs/>
                <w:color w:val="FFFFFF"/>
              </w:rPr>
              <w:t>Theme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tcPr>
          <w:p w14:paraId="4EF2C94D" w14:textId="77777777" w:rsidR="00B8038C" w:rsidRDefault="00000000">
            <w:r>
              <w:rPr>
                <w:b/>
                <w:bCs/>
                <w:color w:val="FFFFFF"/>
              </w:rPr>
              <w:t>What Lands</w:t>
            </w:r>
          </w:p>
        </w:tc>
      </w:tr>
      <w:tr w:rsidR="00B8038C" w14:paraId="56D267A2"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30C8D41" w14:textId="77777777" w:rsidR="00B8038C" w:rsidRDefault="00000000">
            <w:r>
              <w:rPr>
                <w:color w:val="1E293B"/>
                <w:sz w:val="20"/>
                <w:szCs w:val="20"/>
              </w:rPr>
              <w:t>Month 1</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393C2F7" w14:textId="77777777" w:rsidR="00B8038C" w:rsidRDefault="00000000">
            <w:r>
              <w:rPr>
                <w:color w:val="1E293B"/>
                <w:sz w:val="20"/>
                <w:szCs w:val="20"/>
              </w:rPr>
              <w:t>Foundation &amp; Discovery</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6AB5B17" w14:textId="77777777" w:rsidR="00B8038C" w:rsidRDefault="00000000">
            <w:r>
              <w:rPr>
                <w:color w:val="1E293B"/>
                <w:sz w:val="20"/>
                <w:szCs w:val="20"/>
              </w:rPr>
              <w:t>Architecture, CSDM data model, Discovery and Service Graph Connectors (SCCM/Intune) ingesting CMDB.</w:t>
            </w:r>
          </w:p>
        </w:tc>
      </w:tr>
      <w:tr w:rsidR="00B8038C" w14:paraId="204D87C6"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60DE895E" w14:textId="77777777" w:rsidR="00B8038C" w:rsidRDefault="00000000">
            <w:r>
              <w:rPr>
                <w:color w:val="1E293B"/>
                <w:sz w:val="20"/>
                <w:szCs w:val="20"/>
              </w:rPr>
              <w:t>Month 2</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5448BAFB" w14:textId="77777777" w:rsidR="00B8038C" w:rsidRDefault="00000000">
            <w:r>
              <w:rPr>
                <w:color w:val="1E293B"/>
                <w:sz w:val="20"/>
                <w:szCs w:val="20"/>
              </w:rPr>
              <w:t>Core Build</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53A153D" w14:textId="77777777" w:rsidR="00B8038C" w:rsidRDefault="00000000">
            <w:r>
              <w:rPr>
                <w:color w:val="1E293B"/>
                <w:sz w:val="20"/>
                <w:szCs w:val="20"/>
              </w:rPr>
              <w:t>ITSM Core (Incident, Problem, Request) and modernized Change/CAB. First catalog items developed.</w:t>
            </w:r>
          </w:p>
        </w:tc>
      </w:tr>
      <w:tr w:rsidR="00B8038C" w14:paraId="13E75150"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95E7CC3" w14:textId="77777777" w:rsidR="00B8038C" w:rsidRDefault="00000000">
            <w:r>
              <w:rPr>
                <w:color w:val="1E293B"/>
                <w:sz w:val="20"/>
                <w:szCs w:val="20"/>
              </w:rPr>
              <w:t>Month 3</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8E529C5" w14:textId="77777777" w:rsidR="00B8038C" w:rsidRDefault="00000000">
            <w:r>
              <w:rPr>
                <w:color w:val="1E293B"/>
                <w:sz w:val="20"/>
                <w:szCs w:val="20"/>
              </w:rPr>
              <w:t>Advanced Features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A8037BF" w14:textId="77777777" w:rsidR="00B8038C" w:rsidRDefault="00000000">
            <w:r>
              <w:rPr>
                <w:color w:val="1E293B"/>
                <w:sz w:val="20"/>
                <w:szCs w:val="20"/>
              </w:rPr>
              <w:t>Employee Center, Virtual Agent, AI Search, Knowledge Management, Performance Analytics, HAM Foundations.</w:t>
            </w:r>
          </w:p>
        </w:tc>
      </w:tr>
      <w:tr w:rsidR="00B8038C" w14:paraId="03857E40" w14:textId="77777777">
        <w:tblPrEx>
          <w:tblCellMar>
            <w:top w:w="0" w:type="dxa"/>
            <w:bottom w:w="0" w:type="dxa"/>
          </w:tblCellMar>
        </w:tblPrEx>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2C272302" w14:textId="77777777" w:rsidR="00B8038C" w:rsidRDefault="00000000">
            <w:r>
              <w:rPr>
                <w:color w:val="1E293B"/>
                <w:sz w:val="20"/>
                <w:szCs w:val="20"/>
              </w:rPr>
              <w:t>Month 4</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7476DF5C" w14:textId="77777777" w:rsidR="00B8038C" w:rsidRDefault="00000000">
            <w:r>
              <w:rPr>
                <w:color w:val="1E293B"/>
                <w:sz w:val="20"/>
                <w:szCs w:val="20"/>
              </w:rPr>
              <w:t>Validate &amp; Go-Live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14:paraId="0F63D23F" w14:textId="77777777" w:rsidR="00B8038C" w:rsidRDefault="00000000">
            <w:r>
              <w:rPr>
                <w:color w:val="1E293B"/>
                <w:sz w:val="20"/>
                <w:szCs w:val="20"/>
              </w:rPr>
              <w:t>User Acceptance Testing, Knowledge Transfer, governed cutover, Hypercare and stabilization.</w:t>
            </w:r>
          </w:p>
        </w:tc>
      </w:tr>
    </w:tbl>
    <w:p w14:paraId="33491C0A" w14:textId="77777777" w:rsidR="00B8038C" w:rsidRDefault="00000000">
      <w:pPr>
        <w:pStyle w:val="Heading2"/>
      </w:pPr>
      <w:r>
        <w:t>6.2  What Phase 1 delivers as outcomes</w:t>
      </w:r>
    </w:p>
    <w:p w14:paraId="16C58DB7" w14:textId="77777777" w:rsidR="00B8038C" w:rsidRDefault="00000000">
      <w:pPr>
        <w:pStyle w:val="ListParagraph"/>
        <w:numPr>
          <w:ilvl w:val="0"/>
          <w:numId w:val="3"/>
        </w:numPr>
        <w:spacing w:after="60"/>
      </w:pPr>
      <w:r>
        <w:rPr>
          <w:color w:val="1E293B"/>
        </w:rPr>
        <w:t>A clean, OOTB-aligned ServiceNow instance free of legacy customization debt.</w:t>
      </w:r>
    </w:p>
    <w:p w14:paraId="33DA7667" w14:textId="77777777" w:rsidR="00B8038C" w:rsidRDefault="00000000">
      <w:pPr>
        <w:pStyle w:val="ListParagraph"/>
        <w:numPr>
          <w:ilvl w:val="0"/>
          <w:numId w:val="3"/>
        </w:numPr>
        <w:spacing w:after="60"/>
      </w:pPr>
      <w:r>
        <w:rPr>
          <w:color w:val="1E293B"/>
        </w:rPr>
        <w:t>CSDM 5.0 data model with normalized CMDB — the prerequisite for Predictive Intelligence and AIOps.</w:t>
      </w:r>
    </w:p>
    <w:p w14:paraId="5EFD2DD9" w14:textId="77777777" w:rsidR="00B8038C" w:rsidRDefault="00000000">
      <w:pPr>
        <w:pStyle w:val="ListParagraph"/>
        <w:numPr>
          <w:ilvl w:val="0"/>
          <w:numId w:val="3"/>
        </w:numPr>
        <w:spacing w:after="60"/>
      </w:pPr>
      <w:r>
        <w:rPr>
          <w:color w:val="1E293B"/>
        </w:rPr>
        <w:t>Modern Employee Center with Virtual Agent and AI Search live — driving deflection from day one.</w:t>
      </w:r>
    </w:p>
    <w:p w14:paraId="31D4D545" w14:textId="77777777" w:rsidR="00B8038C" w:rsidRDefault="00000000">
      <w:pPr>
        <w:pStyle w:val="ListParagraph"/>
        <w:numPr>
          <w:ilvl w:val="0"/>
          <w:numId w:val="3"/>
        </w:numPr>
        <w:spacing w:after="60"/>
      </w:pPr>
      <w:r>
        <w:rPr>
          <w:color w:val="1E293B"/>
        </w:rPr>
        <w:t>ITSM Core (Incident, Problem, Change/CAB, Request) on OOTB workflows with CI-driven change risk scoring.</w:t>
      </w:r>
    </w:p>
    <w:p w14:paraId="4D068012" w14:textId="77777777" w:rsidR="00B8038C" w:rsidRDefault="00000000">
      <w:pPr>
        <w:pStyle w:val="ListParagraph"/>
        <w:numPr>
          <w:ilvl w:val="0"/>
          <w:numId w:val="3"/>
        </w:numPr>
        <w:spacing w:after="60"/>
      </w:pPr>
      <w:r>
        <w:rPr>
          <w:color w:val="1E293B"/>
        </w:rPr>
        <w:t>Performance Analytics dashboards live for MTTR, SLA attainment, and change success.</w:t>
      </w:r>
    </w:p>
    <w:p w14:paraId="0D6C21BC" w14:textId="77777777" w:rsidR="00B8038C" w:rsidRDefault="00000000">
      <w:pPr>
        <w:pStyle w:val="ListParagraph"/>
        <w:numPr>
          <w:ilvl w:val="0"/>
          <w:numId w:val="3"/>
        </w:numPr>
        <w:spacing w:after="60"/>
      </w:pPr>
      <w:r>
        <w:rPr>
          <w:color w:val="1E293B"/>
        </w:rPr>
        <w:t>Service Catalog: 10–15 most impactful items + 2–3 generic items so every service has a path on day one.</w:t>
      </w:r>
    </w:p>
    <w:p w14:paraId="0856F20E" w14:textId="77777777" w:rsidR="00B8038C" w:rsidRDefault="00000000">
      <w:pPr>
        <w:pStyle w:val="ListParagraph"/>
        <w:numPr>
          <w:ilvl w:val="0"/>
          <w:numId w:val="3"/>
        </w:numPr>
        <w:spacing w:after="60"/>
      </w:pPr>
      <w:r>
        <w:rPr>
          <w:color w:val="1E293B"/>
        </w:rPr>
        <w:t>HAM Foundations with stockrooms and asset lifecycle aligned to CSDM.</w:t>
      </w:r>
    </w:p>
    <w:p w14:paraId="0A90C4E0" w14:textId="77777777" w:rsidR="00B8038C" w:rsidRDefault="00000000">
      <w:pPr>
        <w:pStyle w:val="ListParagraph"/>
        <w:numPr>
          <w:ilvl w:val="0"/>
          <w:numId w:val="3"/>
        </w:numPr>
        <w:spacing w:after="60"/>
      </w:pPr>
      <w:r>
        <w:rPr>
          <w:color w:val="1E293B"/>
        </w:rPr>
        <w:t>Documented governance, knowledge transfer to internal platform team, and a 12-month forward roadmap.</w:t>
      </w:r>
    </w:p>
    <w:p w14:paraId="6EDD8B48" w14:textId="77777777" w:rsidR="00B8038C" w:rsidRDefault="00000000">
      <w:pPr>
        <w:pStyle w:val="Heading2"/>
      </w:pPr>
      <w:r>
        <w:t>6.3  What Phase 2 and Phase 3 add</w:t>
      </w:r>
    </w:p>
    <w:p w14:paraId="4435350E" w14:textId="77777777" w:rsidR="00B8038C" w:rsidRDefault="00000000">
      <w:pPr>
        <w:spacing w:after="120"/>
      </w:pPr>
      <w:r>
        <w:rPr>
          <w:color w:val="1E293B"/>
        </w:rPr>
        <w:t>Phase 2 (12–14 weeks) expands the baseline: Full Service Catalog (18–20 Business/Technical Services + supporting items), Virtual Agent expansion, On-Call Scheduling, HAM Expansion, SAM Foundations, additional Service Graph Connectors. Indicative ROM range $150K–$185K.</w:t>
      </w:r>
    </w:p>
    <w:p w14:paraId="48412324" w14:textId="77777777" w:rsidR="00B8038C" w:rsidRDefault="00000000">
      <w:pPr>
        <w:spacing w:after="120"/>
      </w:pPr>
      <w:r>
        <w:rPr>
          <w:color w:val="1E293B"/>
        </w:rPr>
        <w:t>Phase 3 (12–14 weeks) brings ITOM and Intelligence: Event Management with bi-directional integration to monitoring sources, Service Mapping on a mature CMDB, SAM Expansion tying entitlements to installed software for true license-position visibility. Indicative ROM range $100K–$125K.</w:t>
      </w:r>
    </w:p>
    <w:p w14:paraId="05EDF9BE" w14:textId="77777777" w:rsidR="00B8038C" w:rsidRDefault="00000000">
      <w:pPr>
        <w:spacing w:after="120"/>
      </w:pPr>
      <w:r>
        <w:rPr>
          <w:color w:val="1E293B"/>
        </w:rPr>
        <w:t xml:space="preserve">Each phase compounds the value of the prior. Phase 1 lands the foundation; Phase 2 enriches the operational depth; Phase 3 completes the ITOM and intelligence picture. The AI horizon — Now Assist at </w:t>
      </w:r>
      <w:r>
        <w:rPr>
          <w:color w:val="1E293B"/>
        </w:rPr>
        <w:lastRenderedPageBreak/>
        <w:t>scale, Agentic Agents, Workflow Data Fabric — sits on top, accessible only after the foundation is in place.</w:t>
      </w:r>
    </w:p>
    <w:p w14:paraId="1592A373" w14:textId="77777777" w:rsidR="00B8038C" w:rsidRDefault="00000000">
      <w:r>
        <w:br w:type="page"/>
      </w:r>
    </w:p>
    <w:p w14:paraId="359539CF" w14:textId="77777777" w:rsidR="00B8038C" w:rsidRDefault="00000000">
      <w:pPr>
        <w:pStyle w:val="Heading1"/>
      </w:pPr>
      <w:r>
        <w:lastRenderedPageBreak/>
        <w:t>7.  When Customization Is the Right Call</w:t>
      </w:r>
    </w:p>
    <w:p w14:paraId="38D79B88" w14:textId="77777777" w:rsidR="00B8038C" w:rsidRDefault="00000000">
      <w:pPr>
        <w:spacing w:after="120"/>
      </w:pPr>
      <w:r>
        <w:rPr>
          <w:color w:val="1E293B"/>
        </w:rPr>
        <w:t>OOTB-first is a default that holds for the vast majority of requirements — typically 90 percent or more on a Phase 1 engagement. The remaining cases where customization is the right answer follow a pattern. Naming them honestly is part of the methodology.</w:t>
      </w:r>
    </w:p>
    <w:p w14:paraId="4276885F" w14:textId="77777777" w:rsidR="00B8038C" w:rsidRDefault="00000000">
      <w:pPr>
        <w:pStyle w:val="Heading2"/>
      </w:pPr>
      <w:r>
        <w:t>7.1  Industry-specific compliance</w:t>
      </w:r>
    </w:p>
    <w:p w14:paraId="585A87CA" w14:textId="77777777" w:rsidR="00B8038C" w:rsidRDefault="00000000">
      <w:pPr>
        <w:spacing w:after="120"/>
      </w:pPr>
      <w:r>
        <w:rPr>
          <w:color w:val="1E293B"/>
        </w:rPr>
        <w:t>Federal customers operating under FedRAMP, FISMA, or specific agency security frameworks may require capabilities that OOTB ServiceNow does not provide out of the box. Healthcare customers operating under HIPAA may need data-handling patterns that exceed OOTB. Financial services customers under SOX or PCI scope may require audit and segregation-of-duties patterns that go beyond OOTB. In these cases, customization is the right call — but it is governed, documented, and built to be upgrade-safe.</w:t>
      </w:r>
    </w:p>
    <w:p w14:paraId="24184413" w14:textId="77777777" w:rsidR="00B8038C" w:rsidRDefault="00000000">
      <w:pPr>
        <w:pStyle w:val="Heading2"/>
      </w:pPr>
      <w:r>
        <w:t>7.2  Mission-critical differentiator</w:t>
      </w:r>
    </w:p>
    <w:p w14:paraId="51F851C3" w14:textId="77777777" w:rsidR="00B8038C" w:rsidRDefault="00000000">
      <w:pPr>
        <w:spacing w:after="120"/>
      </w:pPr>
      <w:r>
        <w:rPr>
          <w:color w:val="1E293B"/>
        </w:rPr>
        <w:t>Some customers have a workflow that is genuinely strategic — that creates measurable competitive advantage and is owned by the business as an asset. These are rare but real. The Governance Board exists precisely to surface them, evaluate them, and approve them with eyes open. The discipline is not to prevent them; it is to ensure they are deliberate.</w:t>
      </w:r>
    </w:p>
    <w:p w14:paraId="3E657CE8" w14:textId="77777777" w:rsidR="00B8038C" w:rsidRDefault="00000000">
      <w:pPr>
        <w:pStyle w:val="Heading2"/>
      </w:pPr>
      <w:r>
        <w:t>7.3  Material integration patterns</w:t>
      </w:r>
    </w:p>
    <w:p w14:paraId="5675ACAB" w14:textId="77777777" w:rsidR="00B8038C" w:rsidRDefault="00000000">
      <w:pPr>
        <w:spacing w:after="120"/>
      </w:pPr>
      <w:r>
        <w:rPr>
          <w:color w:val="1E293B"/>
        </w:rPr>
        <w:t>Some integrations require custom Spokes or patterns because the source or target system has no IntegrationHub equivalent. These are technical realities, not preferences. They get built carefully, with full design documentation, and with a maintenance plan.</w:t>
      </w:r>
    </w:p>
    <w:p w14:paraId="7B6DF488" w14:textId="77777777" w:rsidR="00B8038C" w:rsidRDefault="00000000">
      <w:pPr>
        <w:pStyle w:val="Heading2"/>
      </w:pPr>
      <w:r>
        <w:t>7.4  Data sovereignty constraints</w:t>
      </w:r>
    </w:p>
    <w:p w14:paraId="444B127F" w14:textId="77777777" w:rsidR="00B8038C" w:rsidRDefault="00000000">
      <w:pPr>
        <w:spacing w:after="120"/>
      </w:pPr>
      <w:r>
        <w:rPr>
          <w:color w:val="1E293B"/>
        </w:rPr>
        <w:t>Jurisdictional constraints — where data resides, how it crosses borders, who can access what — sometimes require approaches that OOTB does not accommodate. These cases are increasingly common in multi-national enterprise deployments. They get architectural attention up front, not workarounds in production.</w:t>
      </w:r>
    </w:p>
    <w:p w14:paraId="0F116D2E" w14:textId="77777777" w:rsidR="00B8038C" w:rsidRDefault="00000000">
      <w:pPr>
        <w:spacing w:after="120"/>
      </w:pPr>
      <w:r>
        <w:rPr>
          <w:color w:val="1E293B"/>
        </w:rPr>
        <w:t>In each of these cases, the customization is approved through the Governance Board, documented in the Triage Log, built to OOTB-adjacent standards (configured to be upgrade-safe wherever possible), and tagged for ongoing maintenance review. The methodology does not say no to customization. It says no to customization that is not deliberate.</w:t>
      </w:r>
    </w:p>
    <w:p w14:paraId="2A96256D" w14:textId="77777777" w:rsidR="00B8038C" w:rsidRDefault="00000000">
      <w:r>
        <w:br w:type="page"/>
      </w:r>
    </w:p>
    <w:p w14:paraId="5D268469" w14:textId="77777777" w:rsidR="00B8038C" w:rsidRDefault="00000000">
      <w:pPr>
        <w:pStyle w:val="Heading1"/>
      </w:pPr>
      <w:r>
        <w:lastRenderedPageBreak/>
        <w:t>8.  The ECS Perspective</w:t>
      </w:r>
    </w:p>
    <w:p w14:paraId="29B2AABB" w14:textId="77777777" w:rsidR="00B8038C" w:rsidRDefault="00000000">
      <w:pPr>
        <w:spacing w:after="120"/>
      </w:pPr>
      <w:r>
        <w:rPr>
          <w:color w:val="1E293B"/>
        </w:rPr>
        <w:t>ECS Federal's ServiceNow practice has built its delivery model around the OOTB-first methodology because it is the only model that is economically viable for both the customer and the practice. Customer-side, it is the only model that delivers AI realization without a multi-year, multi-million-dollar custom-build project. Practice-side, it is the only model that compounds across engagements — each delivery makes the next one cheaper, faster, and more reliable.</w:t>
      </w:r>
    </w:p>
    <w:p w14:paraId="464C81B4" w14:textId="77777777" w:rsidR="00B8038C" w:rsidRDefault="00000000">
      <w:pPr>
        <w:pStyle w:val="Heading2"/>
      </w:pPr>
      <w:r>
        <w:t>8.1  How the practice operates</w:t>
      </w:r>
    </w:p>
    <w:p w14:paraId="0018B1F5" w14:textId="77777777" w:rsidR="00B8038C" w:rsidRDefault="00000000">
      <w:pPr>
        <w:spacing w:after="120"/>
      </w:pPr>
      <w:r>
        <w:rPr>
          <w:color w:val="1E293B"/>
        </w:rPr>
        <w:t>Every engagement runs against a documented playbook. Roles are defined with explicit accountability — Engagement Manager, Solution Architect, Process Consultant, Senior Developer, CSDM Architect, and Practice Lead each have named responsibilities and named boundaries. Decisions follow a documented decision-rights matrix. Customizations route through a two-key Governance Board with the customer Sponsor and an ECS Practice Lead outside the daily engagement. Engagement health is reported weekly to practice management against an eight-metric scorecard with red/yellow/green thresholds.</w:t>
      </w:r>
    </w:p>
    <w:p w14:paraId="4E6FB621" w14:textId="77777777" w:rsidR="00B8038C" w:rsidRDefault="00000000">
      <w:pPr>
        <w:spacing w:after="120"/>
      </w:pPr>
      <w:r>
        <w:rPr>
          <w:color w:val="1E293B"/>
        </w:rPr>
        <w:t>This is intentional. The customer is paying for delivery, not for trial-and-error. The practice infrastructure is what makes the delivery predictable.</w:t>
      </w:r>
    </w:p>
    <w:p w14:paraId="2EAAFDB0" w14:textId="77777777" w:rsidR="00B8038C" w:rsidRDefault="00000000">
      <w:pPr>
        <w:pStyle w:val="Heading2"/>
      </w:pPr>
      <w:r>
        <w:t>8.2  How we work with customers</w:t>
      </w:r>
    </w:p>
    <w:p w14:paraId="70D3070D" w14:textId="77777777" w:rsidR="00B8038C" w:rsidRDefault="00000000">
      <w:pPr>
        <w:spacing w:after="120"/>
      </w:pPr>
      <w:r>
        <w:rPr>
          <w:color w:val="1E293B"/>
        </w:rPr>
        <w:t>Engagement begins with a published Governance Charter co-signed by the Project Sponsor and ECS Engagement Manager. The Charter describes how decisions get made, how deviations are handled, how the Governance Triage Log is shared, and how escalation works. There are no hidden mechanisms; the customer sees the same operating model the team uses.</w:t>
      </w:r>
    </w:p>
    <w:p w14:paraId="6AC26DD0" w14:textId="77777777" w:rsidR="00B8038C" w:rsidRDefault="00000000">
      <w:pPr>
        <w:spacing w:after="120"/>
      </w:pPr>
      <w:r>
        <w:rPr>
          <w:color w:val="1E293B"/>
        </w:rPr>
        <w:t>Workshops are deliberate, hands-on, and short — typically 90 minutes. The platform demonstrates the work first; the conversation focuses on the small set of decisions the customer needs to make. Workshops are timed Just-in-Time to the active sprint so what is agreed in the workshop moves into build within days, not weeks.</w:t>
      </w:r>
    </w:p>
    <w:p w14:paraId="3FFBBA93" w14:textId="77777777" w:rsidR="00B8038C" w:rsidRDefault="00000000">
      <w:pPr>
        <w:spacing w:after="120"/>
      </w:pPr>
      <w:r>
        <w:rPr>
          <w:color w:val="1E293B"/>
        </w:rPr>
        <w:t>Customization decisions are visible. Every request — approved, rejected, or deferred — is logged with rationale within 24 hours. The customer Sponsor reviews the log weekly with the Engagement Manager. There are no decisions made in hallway conversations.</w:t>
      </w:r>
    </w:p>
    <w:p w14:paraId="37317677" w14:textId="77777777" w:rsidR="00B8038C" w:rsidRDefault="00000000">
      <w:pPr>
        <w:pStyle w:val="Heading2"/>
      </w:pPr>
      <w:r>
        <w:t>8.3  What this paper does not promise</w:t>
      </w:r>
    </w:p>
    <w:p w14:paraId="7F9A7DA1" w14:textId="77777777" w:rsidR="00B8038C" w:rsidRDefault="00000000">
      <w:pPr>
        <w:spacing w:after="120"/>
      </w:pPr>
      <w:r>
        <w:rPr>
          <w:color w:val="1E293B"/>
        </w:rPr>
        <w:t>This paper does not promise that an OOTB-first reset is painless. It is a discipline change, and discipline changes are uncomfortable for organizations that have spent years operating differently. Process owners who have ten years of investment in the legacy customization will resist the reset. Some customers will find the OOTB-first conversation harder than they expected. The methodology does not eliminate that friction; it gives both sides a framework for working through it.</w:t>
      </w:r>
    </w:p>
    <w:p w14:paraId="64D297DA" w14:textId="77777777" w:rsidR="00B8038C" w:rsidRDefault="00000000">
      <w:pPr>
        <w:spacing w:after="120"/>
      </w:pPr>
      <w:r>
        <w:rPr>
          <w:color w:val="1E293B"/>
        </w:rPr>
        <w:t>It also does not promise specific dollar savings. The ranges in this paper are illustrative based on practice experience and industry benchmarks. Actual outcomes vary by enterprise scale, license footprint, customization breadth, and adoption discipline. What the methodology promises is repeatability — the same approach applied with the same discipline produces a clean foundation in the same 18-week timeline.</w:t>
      </w:r>
    </w:p>
    <w:p w14:paraId="7E186487" w14:textId="77777777" w:rsidR="00B8038C" w:rsidRDefault="00000000">
      <w:r>
        <w:br w:type="page"/>
      </w:r>
    </w:p>
    <w:p w14:paraId="08D5832F" w14:textId="77777777" w:rsidR="00B8038C" w:rsidRDefault="00000000">
      <w:pPr>
        <w:pStyle w:val="Heading1"/>
      </w:pPr>
      <w:r>
        <w:lastRenderedPageBreak/>
        <w:t>9.  Conclusion</w:t>
      </w:r>
    </w:p>
    <w:p w14:paraId="02166A89" w14:textId="77777777" w:rsidR="00B8038C" w:rsidRDefault="00000000">
      <w:pPr>
        <w:spacing w:after="120"/>
      </w:pPr>
      <w:r>
        <w:rPr>
          <w:color w:val="1E293B"/>
        </w:rPr>
        <w:t>The AI capability ServiceNow customers have licensed is real. The platform that can extend it is real. The gap between the two is a foundation problem, and foundation problems have foundation solutions.</w:t>
      </w:r>
    </w:p>
    <w:p w14:paraId="3101AFAF" w14:textId="77777777" w:rsidR="00B8038C" w:rsidRDefault="00000000">
      <w:pPr>
        <w:spacing w:after="120"/>
      </w:pPr>
      <w:r>
        <w:rPr>
          <w:color w:val="1E293B"/>
        </w:rPr>
        <w:t>The OOTB-first methodology is the practice we have built around closing that gap. The principle is simple: lead with OOTB; deviate only when business outcomes require it. The five levers — Rule of Three, Just-in-Time Workshops, Governance Board, Triage Log, PCR Triggers — turn that principle into a daily operating model. The 18-week Phase 1 implementation lands the foundation. Phases 2 and 3 compound the value into operational depth and AI horizon.</w:t>
      </w:r>
    </w:p>
    <w:p w14:paraId="28BDA2F8" w14:textId="77777777" w:rsidR="00B8038C" w:rsidRDefault="00000000">
      <w:pPr>
        <w:spacing w:after="120"/>
      </w:pPr>
      <w:r>
        <w:rPr>
          <w:color w:val="1E293B"/>
        </w:rPr>
        <w:t>For ServiceNow customers asking why their AI investment is not delivering, why their license utilization is below where it should be, or how to get from where they are to where the platform now lives — this is the path we run. It is not the only path. It is the one we have built our practice around because it is the one that delivers value to the customer and remains economically viable for both sides.</w:t>
      </w:r>
    </w:p>
    <w:p w14:paraId="0E21DF23" w14:textId="77777777" w:rsidR="00B8038C" w:rsidRDefault="00000000">
      <w:pPr>
        <w:spacing w:after="120"/>
      </w:pPr>
      <w:r>
        <w:rPr>
          <w:color w:val="1E293B"/>
        </w:rPr>
        <w:t>If this paper resonates with where you are, the next step is a 90-minute Discovery Workshop. We map your current ServiceNow instance against the AI-readiness checklist, quantify your license-realization gap, and identify the top three OOTB resets that would unlock the most value for your specific situation. There is no commitment, no deck — just an honest read of what you have and what is reachable.</w:t>
      </w:r>
    </w:p>
    <w:p w14:paraId="4479E96D" w14:textId="77777777" w:rsidR="00B8038C" w:rsidRDefault="00000000">
      <w:pPr>
        <w:spacing w:after="120"/>
      </w:pPr>
      <w:r>
        <w:rPr>
          <w:b/>
          <w:bCs/>
          <w:color w:val="1E293B"/>
        </w:rPr>
        <w:t>To engage:</w:t>
      </w:r>
      <w:r>
        <w:rPr>
          <w:color w:val="1E293B"/>
        </w:rPr>
        <w:t xml:space="preserve"> Contact your ECS Account Executive, or reach the practice directly at servicenow@ecstech.com.</w:t>
      </w:r>
    </w:p>
    <w:p w14:paraId="13FCDEC8" w14:textId="77777777" w:rsidR="00B8038C" w:rsidRDefault="00000000">
      <w:pPr>
        <w:pStyle w:val="Heading1"/>
      </w:pPr>
      <w:r>
        <w:t>About the Author</w:t>
      </w:r>
    </w:p>
    <w:p w14:paraId="66FB4C83" w14:textId="77777777" w:rsidR="00B8038C" w:rsidRDefault="00000000">
      <w:pPr>
        <w:spacing w:after="120"/>
      </w:pPr>
      <w:r>
        <w:rPr>
          <w:color w:val="1E293B"/>
        </w:rPr>
        <w:t>This paper was prepared by ECS Federal's ServiceNow Practice, drawing on the practice's delivery experience across federal and commercial enterprise engagements. The author voice is delivery management — written by the people who run the engagements, not the people who sell them.</w:t>
      </w:r>
    </w:p>
    <w:p w14:paraId="51B31DB9" w14:textId="77777777" w:rsidR="00B8038C" w:rsidRDefault="00000000">
      <w:pPr>
        <w:spacing w:after="120"/>
      </w:pPr>
      <w:r>
        <w:rPr>
          <w:b/>
          <w:bCs/>
          <w:color w:val="1E293B"/>
        </w:rPr>
        <w:t>ECS Federal · ServiceNow Practice</w:t>
      </w:r>
    </w:p>
    <w:p w14:paraId="5F881DC5" w14:textId="77777777" w:rsidR="00B8038C" w:rsidRDefault="00000000">
      <w:pPr>
        <w:spacing w:after="120"/>
      </w:pPr>
      <w:r>
        <w:rPr>
          <w:color w:val="1E293B"/>
        </w:rPr>
        <w:t>Confidential — for the recipient and the recipient's organization. May be shared internally for evaluation purposes.</w:t>
      </w:r>
    </w:p>
    <w:sectPr w:rsidR="00B8038C">
      <w:headerReference w:type="default" r:id="rId12"/>
      <w:footerReference w:type="default" r:id="rId13"/>
      <w:pgSz w:w="12240" w:h="15840"/>
      <w:pgMar w:top="162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32C1" w14:textId="77777777" w:rsidR="00FF5E64" w:rsidRDefault="00FF5E64">
      <w:r>
        <w:separator/>
      </w:r>
    </w:p>
  </w:endnote>
  <w:endnote w:type="continuationSeparator" w:id="0">
    <w:p w14:paraId="2C4C347C" w14:textId="77777777" w:rsidR="00FF5E64" w:rsidRDefault="00FF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E666" w14:textId="77777777" w:rsidR="00B8038C" w:rsidRDefault="00000000">
    <w:pPr>
      <w:tabs>
        <w:tab w:val="right" w:pos="9360"/>
      </w:tabs>
    </w:pPr>
    <w:r>
      <w:rPr>
        <w:color w:val="475569"/>
        <w:sz w:val="16"/>
        <w:szCs w:val="16"/>
      </w:rPr>
      <w:t>ECS Federal · ServiceNow Practice</w:t>
    </w:r>
    <w:r>
      <w:tab/>
    </w: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3B379A">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BBBF" w14:textId="77777777" w:rsidR="00FF5E64" w:rsidRDefault="00FF5E64">
      <w:r>
        <w:separator/>
      </w:r>
    </w:p>
  </w:footnote>
  <w:footnote w:type="continuationSeparator" w:id="0">
    <w:p w14:paraId="74A580D7" w14:textId="77777777" w:rsidR="00FF5E64" w:rsidRDefault="00FF5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6ABF" w14:textId="77777777" w:rsidR="00B8038C" w:rsidRDefault="00000000">
    <w:pPr>
      <w:tabs>
        <w:tab w:val="right" w:pos="9360"/>
      </w:tabs>
    </w:pPr>
    <w:r>
      <w:rPr>
        <w:noProof/>
      </w:rPr>
      <w:drawing>
        <wp:inline distT="0" distB="0" distL="0" distR="0" wp14:anchorId="62F0C78A" wp14:editId="4A23EF85">
          <wp:extent cx="1047750" cy="200025"/>
          <wp:effectExtent l="0" t="0" r="0" b="0"/>
          <wp:docPr id="704282907"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00025"/>
                  </a:xfrm>
                  <a:prstGeom prst="rect">
                    <a:avLst/>
                  </a:prstGeom>
                </pic:spPr>
              </pic:pic>
            </a:graphicData>
          </a:graphic>
        </wp:inline>
      </w:drawing>
    </w:r>
    <w:r>
      <w:tab/>
    </w:r>
    <w:r>
      <w:rPr>
        <w:color w:val="475569"/>
        <w:spacing w:val="30"/>
        <w:sz w:val="18"/>
        <w:szCs w:val="18"/>
      </w:rPr>
      <w:t>White Paper  ·  Unlock the AI You've Already Bought</w:t>
    </w:r>
  </w:p>
  <w:p w14:paraId="1C82FA8E" w14:textId="77777777" w:rsidR="00B8038C" w:rsidRDefault="00B8038C">
    <w:pPr>
      <w:pBdr>
        <w:bottom w:val="single" w:sz="8" w:space="1" w:color="14B8A6"/>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9422B"/>
    <w:multiLevelType w:val="hybridMultilevel"/>
    <w:tmpl w:val="79F06384"/>
    <w:lvl w:ilvl="0" w:tplc="3CD40D30">
      <w:start w:val="1"/>
      <w:numFmt w:val="decimal"/>
      <w:lvlText w:val="%1."/>
      <w:lvlJc w:val="left"/>
      <w:pPr>
        <w:ind w:left="540" w:hanging="360"/>
      </w:pPr>
    </w:lvl>
    <w:lvl w:ilvl="1" w:tplc="2F5085B8">
      <w:numFmt w:val="decimal"/>
      <w:lvlText w:val=""/>
      <w:lvlJc w:val="left"/>
    </w:lvl>
    <w:lvl w:ilvl="2" w:tplc="62E6812C">
      <w:numFmt w:val="decimal"/>
      <w:lvlText w:val=""/>
      <w:lvlJc w:val="left"/>
    </w:lvl>
    <w:lvl w:ilvl="3" w:tplc="12A0076A">
      <w:numFmt w:val="decimal"/>
      <w:lvlText w:val=""/>
      <w:lvlJc w:val="left"/>
    </w:lvl>
    <w:lvl w:ilvl="4" w:tplc="C12EA070">
      <w:numFmt w:val="decimal"/>
      <w:lvlText w:val=""/>
      <w:lvlJc w:val="left"/>
    </w:lvl>
    <w:lvl w:ilvl="5" w:tplc="7E10AA0C">
      <w:numFmt w:val="decimal"/>
      <w:lvlText w:val=""/>
      <w:lvlJc w:val="left"/>
    </w:lvl>
    <w:lvl w:ilvl="6" w:tplc="19064BCE">
      <w:numFmt w:val="decimal"/>
      <w:lvlText w:val=""/>
      <w:lvlJc w:val="left"/>
    </w:lvl>
    <w:lvl w:ilvl="7" w:tplc="B15CACF6">
      <w:numFmt w:val="decimal"/>
      <w:lvlText w:val=""/>
      <w:lvlJc w:val="left"/>
    </w:lvl>
    <w:lvl w:ilvl="8" w:tplc="E51CF92A">
      <w:numFmt w:val="decimal"/>
      <w:lvlText w:val=""/>
      <w:lvlJc w:val="left"/>
    </w:lvl>
  </w:abstractNum>
  <w:abstractNum w:abstractNumId="1" w15:restartNumberingAfterBreak="0">
    <w:nsid w:val="6607548D"/>
    <w:multiLevelType w:val="hybridMultilevel"/>
    <w:tmpl w:val="D1B227F2"/>
    <w:lvl w:ilvl="0" w:tplc="DBECA4C0">
      <w:start w:val="1"/>
      <w:numFmt w:val="bullet"/>
      <w:lvlText w:val="•"/>
      <w:lvlJc w:val="left"/>
      <w:pPr>
        <w:ind w:left="540" w:hanging="270"/>
      </w:pPr>
    </w:lvl>
    <w:lvl w:ilvl="1" w:tplc="E7B4889C">
      <w:numFmt w:val="decimal"/>
      <w:lvlText w:val=""/>
      <w:lvlJc w:val="left"/>
    </w:lvl>
    <w:lvl w:ilvl="2" w:tplc="3D8EC712">
      <w:numFmt w:val="decimal"/>
      <w:lvlText w:val=""/>
      <w:lvlJc w:val="left"/>
    </w:lvl>
    <w:lvl w:ilvl="3" w:tplc="6FF0B0AE">
      <w:numFmt w:val="decimal"/>
      <w:lvlText w:val=""/>
      <w:lvlJc w:val="left"/>
    </w:lvl>
    <w:lvl w:ilvl="4" w:tplc="8946E1F0">
      <w:numFmt w:val="decimal"/>
      <w:lvlText w:val=""/>
      <w:lvlJc w:val="left"/>
    </w:lvl>
    <w:lvl w:ilvl="5" w:tplc="44C80EBE">
      <w:numFmt w:val="decimal"/>
      <w:lvlText w:val=""/>
      <w:lvlJc w:val="left"/>
    </w:lvl>
    <w:lvl w:ilvl="6" w:tplc="F8825780">
      <w:numFmt w:val="decimal"/>
      <w:lvlText w:val=""/>
      <w:lvlJc w:val="left"/>
    </w:lvl>
    <w:lvl w:ilvl="7" w:tplc="460EFF94">
      <w:numFmt w:val="decimal"/>
      <w:lvlText w:val=""/>
      <w:lvlJc w:val="left"/>
    </w:lvl>
    <w:lvl w:ilvl="8" w:tplc="5AC23B34">
      <w:numFmt w:val="decimal"/>
      <w:lvlText w:val=""/>
      <w:lvlJc w:val="left"/>
    </w:lvl>
  </w:abstractNum>
  <w:abstractNum w:abstractNumId="2" w15:restartNumberingAfterBreak="0">
    <w:nsid w:val="757A14B4"/>
    <w:multiLevelType w:val="hybridMultilevel"/>
    <w:tmpl w:val="4276FFF6"/>
    <w:lvl w:ilvl="0" w:tplc="41584EAC">
      <w:start w:val="1"/>
      <w:numFmt w:val="bullet"/>
      <w:lvlText w:val="●"/>
      <w:lvlJc w:val="left"/>
      <w:pPr>
        <w:ind w:left="720" w:hanging="360"/>
      </w:pPr>
    </w:lvl>
    <w:lvl w:ilvl="1" w:tplc="A87AE450">
      <w:start w:val="1"/>
      <w:numFmt w:val="bullet"/>
      <w:lvlText w:val="○"/>
      <w:lvlJc w:val="left"/>
      <w:pPr>
        <w:ind w:left="1440" w:hanging="360"/>
      </w:pPr>
    </w:lvl>
    <w:lvl w:ilvl="2" w:tplc="7CC870DC">
      <w:start w:val="1"/>
      <w:numFmt w:val="bullet"/>
      <w:lvlText w:val="■"/>
      <w:lvlJc w:val="left"/>
      <w:pPr>
        <w:ind w:left="2160" w:hanging="360"/>
      </w:pPr>
    </w:lvl>
    <w:lvl w:ilvl="3" w:tplc="23EEE602">
      <w:start w:val="1"/>
      <w:numFmt w:val="bullet"/>
      <w:lvlText w:val="●"/>
      <w:lvlJc w:val="left"/>
      <w:pPr>
        <w:ind w:left="2880" w:hanging="360"/>
      </w:pPr>
    </w:lvl>
    <w:lvl w:ilvl="4" w:tplc="986271AA">
      <w:start w:val="1"/>
      <w:numFmt w:val="bullet"/>
      <w:lvlText w:val="○"/>
      <w:lvlJc w:val="left"/>
      <w:pPr>
        <w:ind w:left="3600" w:hanging="360"/>
      </w:pPr>
    </w:lvl>
    <w:lvl w:ilvl="5" w:tplc="FE6407A8">
      <w:start w:val="1"/>
      <w:numFmt w:val="bullet"/>
      <w:lvlText w:val="■"/>
      <w:lvlJc w:val="left"/>
      <w:pPr>
        <w:ind w:left="4320" w:hanging="360"/>
      </w:pPr>
    </w:lvl>
    <w:lvl w:ilvl="6" w:tplc="0A4E8CD4">
      <w:start w:val="1"/>
      <w:numFmt w:val="bullet"/>
      <w:lvlText w:val="●"/>
      <w:lvlJc w:val="left"/>
      <w:pPr>
        <w:ind w:left="5040" w:hanging="360"/>
      </w:pPr>
    </w:lvl>
    <w:lvl w:ilvl="7" w:tplc="1666CE14">
      <w:start w:val="1"/>
      <w:numFmt w:val="bullet"/>
      <w:lvlText w:val="●"/>
      <w:lvlJc w:val="left"/>
      <w:pPr>
        <w:ind w:left="5760" w:hanging="360"/>
      </w:pPr>
    </w:lvl>
    <w:lvl w:ilvl="8" w:tplc="69C08122">
      <w:start w:val="1"/>
      <w:numFmt w:val="bullet"/>
      <w:lvlText w:val="●"/>
      <w:lvlJc w:val="left"/>
      <w:pPr>
        <w:ind w:left="6480" w:hanging="360"/>
      </w:pPr>
    </w:lvl>
  </w:abstractNum>
  <w:num w:numId="1" w16cid:durableId="1514228111">
    <w:abstractNumId w:val="2"/>
    <w:lvlOverride w:ilvl="0">
      <w:startOverride w:val="1"/>
    </w:lvlOverride>
  </w:num>
  <w:num w:numId="2" w16cid:durableId="1977249583">
    <w:abstractNumId w:val="0"/>
    <w:lvlOverride w:ilvl="0">
      <w:startOverride w:val="1"/>
    </w:lvlOverride>
  </w:num>
  <w:num w:numId="3" w16cid:durableId="498473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38C"/>
    <w:rsid w:val="003B379A"/>
    <w:rsid w:val="004363EF"/>
    <w:rsid w:val="004F1D9A"/>
    <w:rsid w:val="00B8038C"/>
    <w:rsid w:val="00FF5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9FB8"/>
  <w15:docId w15:val="{024422E2-CE20-45B8-A339-52CF2991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1F3A"/>
      <w:sz w:val="32"/>
      <w:szCs w:val="32"/>
    </w:rPr>
  </w:style>
  <w:style w:type="paragraph" w:styleId="Heading2">
    <w:name w:val="heading 2"/>
    <w:uiPriority w:val="9"/>
    <w:unhideWhenUsed/>
    <w:qFormat/>
    <w:pPr>
      <w:spacing w:before="240" w:after="120"/>
      <w:outlineLvl w:val="1"/>
    </w:pPr>
    <w:rPr>
      <w:b/>
      <w:bCs/>
      <w:color w:val="0B1F3A"/>
      <w:sz w:val="26"/>
      <w:szCs w:val="26"/>
    </w:rPr>
  </w:style>
  <w:style w:type="paragraph" w:styleId="Heading3">
    <w:name w:val="heading 3"/>
    <w:uiPriority w:val="9"/>
    <w:semiHidden/>
    <w:unhideWhenUsed/>
    <w:qFormat/>
    <w:pPr>
      <w:spacing w:before="200" w:after="10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DOCID-202112391-25588</_dlc_DocId>
    <_dlc_DocIdUrl xmlns="ea10e7c1-45f6-45a6-9220-470b2ac38f45">
      <Url>https://itecsfederal.sharepoint.com/teams/MissionSolutions/ISM/_layouts/15/DocIdRedir.aspx?ID=DOCID-202112391-25588</Url>
      <Description>DOCID-202112391-25588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D6E6A5-4060-475A-8E00-463E9E42AC66}">
  <ds:schemaRefs>
    <ds:schemaRef ds:uri="http://schemas.microsoft.com/office/2006/metadata/properties"/>
    <ds:schemaRef ds:uri="http://schemas.microsoft.com/office/infopath/2007/PartnerControls"/>
    <ds:schemaRef ds:uri="d1ffb523-bb88-49c4-b429-725e751bd64a"/>
    <ds:schemaRef ds:uri="ea10e7c1-45f6-45a6-9220-470b2ac38f45"/>
  </ds:schemaRefs>
</ds:datastoreItem>
</file>

<file path=customXml/itemProps2.xml><?xml version="1.0" encoding="utf-8"?>
<ds:datastoreItem xmlns:ds="http://schemas.openxmlformats.org/officeDocument/2006/customXml" ds:itemID="{55DD9261-68AA-4BEA-92B0-921DFAAB1C6A}">
  <ds:schemaRefs>
    <ds:schemaRef ds:uri="http://schemas.microsoft.com/sharepoint/v3/contenttype/forms"/>
  </ds:schemaRefs>
</ds:datastoreItem>
</file>

<file path=customXml/itemProps3.xml><?xml version="1.0" encoding="utf-8"?>
<ds:datastoreItem xmlns:ds="http://schemas.openxmlformats.org/officeDocument/2006/customXml" ds:itemID="{A5EA2C1A-2957-4F56-B7C6-C8924B751546}">
  <ds:schemaRefs>
    <ds:schemaRef ds:uri="http://schemas.microsoft.com/sharepoint/events"/>
  </ds:schemaRefs>
</ds:datastoreItem>
</file>

<file path=customXml/itemProps4.xml><?xml version="1.0" encoding="utf-8"?>
<ds:datastoreItem xmlns:ds="http://schemas.openxmlformats.org/officeDocument/2006/customXml" ds:itemID="{0C20D500-C77E-42A1-A0E0-DC49D7D281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Unlocking the AI You've Already Bought — A ServiceNow OOTB-First White Paper</vt:lpstr>
    </vt:vector>
  </TitlesOfParts>
  <Company/>
  <LinksUpToDate>false</LinksUpToDate>
  <CharactersWithSpaces>23405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Unlocking the AI You've Already Bought — A ServiceNow OOTB-First White Paper</dc:title>
  <dc:creator>ECS Federal · ServiceNow Practice</dc:creator>
  <cp:lastModifiedBy>Tim Hislop</cp:lastModifiedBy>
  <cp:revision>3</cp:revision>
  <dcterms:created xsi:type="dcterms:W3CDTF">2026-05-03T10:32:00Z</dcterms:created>
  <dcterms:modified xsi:type="dcterms:W3CDTF">2026-06-05T15:42:00Z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156967b3-2eb6-48c7-81dc-4851a4fe0835</vt:lpwstr>
  </property>
</Properties>
</file>