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1905000" cy="352425"/>
            <wp:effectExtent t="0" r="0" b="0" l="0"/>
            <wp:docPr id="1" name="Logo" descr="Everforth EC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352425"/>
                    </a:xfrm>
                    <a:prstGeom prst="rect">
                      <a:avLst/>
                    </a:prstGeom>
                  </pic:spPr>
                </pic:pic>
              </a:graphicData>
            </a:graphic>
          </wp:inline>
        </w:drawing>
      </w:r>
    </w:p>
    <w:p>
      <w:pPr>
        <w:spacing w:after="120" w:before="220"/>
      </w:pPr>
      <w:r>
        <w:t xml:space="preserve"/>
      </w:r>
    </w:p>
    <w:p>
      <w:pPr>
        <w:pBdr>
          <w:bottom w:val="single" w:color="14B8A6" w:sz="14" w:space="1"/>
        </w:pBdr>
        <w:spacing w:after="0" w:before="0"/>
      </w:pPr>
      <w:r>
        <w:t xml:space="preserve"/>
      </w:r>
    </w:p>
    <w:p>
      <w:pPr>
        <w:spacing w:after="120" w:before="500"/>
      </w:pPr>
      <w:r>
        <w:t xml:space="preserve"/>
      </w:r>
    </w:p>
    <w:p>
      <w:pPr>
        <w:spacing w:after="80" w:before="0"/>
      </w:pPr>
      <w:r>
        <w:rPr>
          <w:rFonts w:ascii="Arial" w:cs="Arial" w:eastAsia="Arial" w:hAnsi="Arial"/>
          <w:b/>
          <w:bCs/>
          <w:i w:val="false"/>
          <w:iCs w:val="false"/>
          <w:color w:val="14B8A6"/>
          <w:sz w:val="20"/>
          <w:szCs w:val="20"/>
        </w:rPr>
        <w:t xml:space="preserve">CLIENT GUIDE</w:t>
      </w:r>
    </w:p>
    <w:p>
      <w:pPr>
        <w:spacing w:after="100" w:before="0"/>
      </w:pPr>
      <w:r>
        <w:rPr>
          <w:rFonts w:ascii="Arial" w:cs="Arial" w:eastAsia="Arial" w:hAnsi="Arial"/>
          <w:b/>
          <w:bCs/>
          <w:color w:val="0B1F3A"/>
          <w:sz w:val="56"/>
          <w:szCs w:val="56"/>
        </w:rPr>
        <w:t xml:space="preserve">Why OOTB-First?</w:t>
      </w:r>
    </w:p>
    <w:p>
      <w:pPr>
        <w:spacing w:after="60" w:before="0"/>
      </w:pPr>
      <w:r>
        <w:rPr>
          <w:rFonts w:ascii="Arial" w:cs="Arial" w:eastAsia="Arial" w:hAnsi="Arial"/>
          <w:b w:val="false"/>
          <w:bCs w:val="false"/>
          <w:i/>
          <w:iCs/>
          <w:color w:val="0D9488"/>
          <w:sz w:val="24"/>
          <w:szCs w:val="24"/>
        </w:rPr>
        <w:t xml:space="preserve">A ServiceNow delivery approach built to eliminate technical debt, realize the platform's full capability, and position Connection for long-term success.</w:t>
      </w:r>
    </w:p>
    <w:p>
      <w:pPr>
        <w:spacing w:after="120" w:before="500"/>
      </w:pPr>
      <w:r>
        <w:t xml:space="preserve"/>
      </w:r>
    </w:p>
    <w:p>
      <w:pPr>
        <w:pBdr>
          <w:bottom w:val="single" w:color="0B1F3A" w:sz="4" w:space="1"/>
        </w:pBdr>
        <w:spacing w:after="0" w:before="0"/>
      </w:pPr>
      <w:r>
        <w:t xml:space="preserve"/>
      </w:r>
    </w:p>
    <w:p>
      <w:pPr>
        <w:spacing w:after="120" w:before="180"/>
      </w:pPr>
      <w:r>
        <w:t xml:space="preserve"/>
      </w:r>
    </w:p>
    <w:p>
      <w:pPr>
        <w:spacing w:after="80" w:before="0"/>
      </w:pPr>
      <w:r>
        <w:rPr>
          <w:rFonts w:ascii="Arial" w:cs="Arial" w:eastAsia="Arial" w:hAnsi="Arial"/>
          <w:b w:val="false"/>
          <w:bCs w:val="false"/>
          <w:i w:val="false"/>
          <w:iCs w:val="false"/>
          <w:color w:val="1E293B"/>
          <w:sz w:val="22"/>
          <w:szCs w:val="22"/>
        </w:rPr>
        <w:t xml:space="preserve">ECS Federal  ·  ServiceNow Practice</w:t>
      </w:r>
    </w:p>
    <w:p>
      <w:pPr>
        <w:spacing w:after="80" w:before="0"/>
      </w:pPr>
      <w:r>
        <w:rPr>
          <w:rFonts w:ascii="Arial" w:cs="Arial" w:eastAsia="Arial" w:hAnsi="Arial"/>
          <w:b/>
          <w:bCs/>
          <w:i w:val="false"/>
          <w:iCs w:val="false"/>
          <w:color w:val="0B1F3A"/>
          <w:sz w:val="22"/>
          <w:szCs w:val="22"/>
        </w:rPr>
        <w:t xml:space="preserve">Prepared for: Connection</w:t>
      </w:r>
    </w:p>
    <w:p>
      <w:pPr>
        <w:spacing w:after="80" w:before="0"/>
      </w:pPr>
      <w:r>
        <w:rPr>
          <w:rFonts w:ascii="Arial" w:cs="Arial" w:eastAsia="Arial" w:hAnsi="Arial"/>
          <w:b w:val="false"/>
          <w:bCs w:val="false"/>
          <w:i w:val="false"/>
          <w:iCs w:val="false"/>
          <w:color w:val="1E293B"/>
          <w:sz w:val="22"/>
          <w:szCs w:val="22"/>
        </w:rPr>
        <w:t xml:space="preserve">May 2025</w:t>
      </w:r>
    </w:p>
    <w:p>
      <w:pPr>
        <w:spacing w:after="120" w:before="600"/>
      </w:pPr>
      <w:r>
        <w:t xml:space="preserve"/>
      </w:r>
    </w:p>
    <w:p>
      <w:pPr>
        <w:spacing w:after="0" w:before="0"/>
      </w:pPr>
      <w:r>
        <w:rPr>
          <w:rFonts w:ascii="Arial" w:cs="Arial" w:eastAsia="Arial" w:hAnsi="Arial"/>
          <w:b w:val="false"/>
          <w:bCs w:val="false"/>
          <w:i/>
          <w:iCs/>
          <w:color w:val="64748B"/>
          <w:sz w:val="18"/>
          <w:szCs w:val="18"/>
        </w:rPr>
        <w:t xml:space="preserve">Confidential — for Connection and their organization</w:t>
      </w:r>
    </w:p>
    <w:p>
      <w:r>
        <w:br w:type="page"/>
      </w:r>
    </w:p>
    <w:p>
      <w:pPr>
        <w:pStyle w:val="Heading1"/>
        <w:spacing w:after="100" w:before="320"/>
      </w:pPr>
      <w:r>
        <w:rPr>
          <w:rFonts w:ascii="Arial" w:cs="Arial" w:eastAsia="Arial" w:hAnsi="Arial"/>
          <w:b/>
          <w:bCs/>
          <w:color w:val="0B1F3A"/>
          <w:sz w:val="28"/>
          <w:szCs w:val="28"/>
        </w:rPr>
        <w:t xml:space="preserve">Our Approach</w:t>
      </w:r>
    </w:p>
    <w:p>
      <w:pPr>
        <w:pBdr>
          <w:bottom w:val="single" w:color="14B8A6" w:sz="8" w:space="1"/>
        </w:pBdr>
        <w:spacing w:after="0" w:before="0"/>
      </w:pPr>
      <w:r>
        <w:t xml:space="preserve"/>
      </w:r>
    </w:p>
    <w:p>
      <w:pPr>
        <w:spacing w:after="120" w:before="120"/>
      </w:pPr>
      <w:r>
        <w:t xml:space="preserve"/>
      </w:r>
    </w:p>
    <w:p>
      <w:pPr>
        <w:spacing w:after="160" w:before="100"/>
        <w:jc w:val="both"/>
      </w:pPr>
      <w:r>
        <w:rPr>
          <w:rFonts w:ascii="Arial" w:cs="Arial" w:eastAsia="Arial" w:hAnsi="Arial"/>
          <w:b w:val="false"/>
          <w:bCs w:val="false"/>
          <w:i w:val="false"/>
          <w:iCs w:val="false"/>
          <w:color w:val="1E293B"/>
          <w:sz w:val="22"/>
          <w:szCs w:val="22"/>
        </w:rPr>
        <w:t xml:space="preserve">When ECS engages with a customer on a ServiceNow modernization, we lead with one question: what did the platform actually promise you, and are you getting it? In most cases the honest answer is no — not because ServiceNow failed to deliver, but because years of customization have created a gap between the platform as purchased and the platform as it actually operates. Custom workflows, non-standard data structures, and bespoke integrations accumulate over time, each one justified in the moment, and together they form a ceiling that blocks the capabilities the organization already owns.</w:t>
      </w:r>
    </w:p>
    <w:p>
      <w:pPr>
        <w:spacing w:after="160" w:before="100"/>
        <w:jc w:val="both"/>
      </w:pPr>
      <w:r>
        <w:rPr>
          <w:rFonts w:ascii="Arial" w:cs="Arial" w:eastAsia="Arial" w:hAnsi="Arial"/>
          <w:b w:val="false"/>
          <w:bCs w:val="false"/>
          <w:i w:val="false"/>
          <w:iCs w:val="false"/>
          <w:color w:val="1E293B"/>
          <w:sz w:val="22"/>
          <w:szCs w:val="22"/>
        </w:rPr>
        <w:t xml:space="preserve">Our OOTB-first approach is the answer to that problem. Rather than layering new capability on top of a fragmented foundation, we reset to what ServiceNow was designed to do — using the platform's native tools, standard data model, and built-in workflow patterns as the starting point for everything. This is not a limitation. It is the fastest path to realizing the AI capabilities, analytics, and self-service functionality that are already in the license. ServiceNow's most valuable features — Predictive Intelligence, Virtual Agent, Now Assist, Performance Analytics — are built to extend the standard platform. They cannot reach around customizations. The foundation has to be there first.</w:t>
      </w:r>
    </w:p>
    <w:p>
      <w:pPr>
        <w:spacing w:after="160" w:before="100"/>
        <w:jc w:val="both"/>
      </w:pPr>
      <w:r>
        <w:rPr>
          <w:rFonts w:ascii="Arial" w:cs="Arial" w:eastAsia="Arial" w:hAnsi="Arial"/>
          <w:b w:val="false"/>
          <w:bCs w:val="false"/>
          <w:i w:val="false"/>
          <w:iCs w:val="false"/>
          <w:color w:val="1E293B"/>
          <w:sz w:val="22"/>
          <w:szCs w:val="22"/>
        </w:rPr>
        <w:t xml:space="preserve">The 18-week Phase 1 engagement we are delivering for Connection establishes that foundation — a clean, OOTB-aligned instance with ITSM Core, CMDB, Employee Center, Virtual Agent, and Performance Analytics live at go-live. What follows is a phased roadmap that compounds on that investment: each new capability added in Phase 2 and Phase 3 builds cleanly on what Phase 1 put in place, without rework. And as ServiceNow continues to release AI-driven features, Connection will be positioned to adopt them through configuration rather than custom engineering.</w:t>
      </w:r>
    </w:p>
    <w:p>
      <w:pPr>
        <w:spacing w:after="80" w:before="80"/>
      </w:pPr>
      <w:r>
        <w:t xml:space="preserve"/>
      </w:r>
    </w:p>
    <w:p>
      <w:pPr>
        <w:pBdr>
          <w:bottom w:val="single" w:color="0B1F3A" w:sz="2" w:space="1"/>
        </w:pBdr>
        <w:spacing w:after="0" w:before="0"/>
      </w:pPr>
      <w:r>
        <w:t xml:space="preserve"/>
      </w:r>
    </w:p>
    <w:p>
      <w:pPr>
        <w:spacing w:after="120" w:before="80"/>
      </w:pPr>
      <w:r>
        <w:t xml:space="preserve"/>
      </w:r>
    </w:p>
    <w:p>
      <w:pPr>
        <w:pStyle w:val="Heading1"/>
        <w:spacing w:after="100" w:before="320"/>
      </w:pPr>
      <w:r>
        <w:rPr>
          <w:rFonts w:ascii="Arial" w:cs="Arial" w:eastAsia="Arial" w:hAnsi="Arial"/>
          <w:b/>
          <w:bCs/>
          <w:color w:val="0B1F3A"/>
          <w:sz w:val="28"/>
          <w:szCs w:val="28"/>
        </w:rPr>
        <w:t xml:space="preserve">Where We Have Done This Before</w:t>
      </w:r>
    </w:p>
    <w:p>
      <w:pPr>
        <w:pBdr>
          <w:bottom w:val="single" w:color="14B8A6" w:sz="8" w:space="1"/>
        </w:pBdr>
        <w:spacing w:after="0" w:before="0"/>
      </w:pPr>
      <w:r>
        <w:t xml:space="preserve"/>
      </w:r>
    </w:p>
    <w:p>
      <w:pPr>
        <w:spacing w:after="120" w:before="100"/>
      </w:pPr>
      <w:r>
        <w:t xml:space="preserve"/>
      </w:r>
    </w:p>
    <w:p>
      <w:pPr>
        <w:spacing w:after="160" w:before="100"/>
        <w:jc w:val="both"/>
      </w:pPr>
      <w:r>
        <w:rPr>
          <w:rFonts w:ascii="Arial" w:cs="Arial" w:eastAsia="Arial" w:hAnsi="Arial"/>
          <w:b w:val="false"/>
          <w:bCs w:val="false"/>
          <w:i w:val="false"/>
          <w:iCs w:val="false"/>
          <w:color w:val="1E293B"/>
          <w:sz w:val="22"/>
          <w:szCs w:val="22"/>
        </w:rPr>
        <w:t xml:space="preserve">The approach we are bringing to Connection is not new to ECS. Across a portfolio of federal and enterprise engagements, we have delivered the OOTB-first model in two contexts that are directly relevant: organizations where we established a disciplined foundation from the start and scaled capability over time, and organizations where we inherited a fragmented or heavily customized environment and rebuilt a clean platform before executing a forward roadmap. Both paths lead to the same outcome — a platform that grows without rework.</w:t>
      </w:r>
    </w:p>
    <w:p>
      <w:pPr>
        <w:spacing w:after="80" w:before="80"/>
      </w:pPr>
      <w:r>
        <w:t xml:space="preserve"/>
      </w:r>
    </w:p>
    <w:p>
      <w:pPr>
        <w:spacing w:after="60" w:before="240"/>
      </w:pPr>
      <w:r>
        <w:rPr>
          <w:rFonts w:ascii="Arial" w:cs="Arial" w:eastAsia="Arial" w:hAnsi="Arial"/>
          <w:b/>
          <w:bCs/>
          <w:color w:val="0B1F3A"/>
          <w:sz w:val="23"/>
          <w:szCs w:val="23"/>
        </w:rPr>
        <w:t xml:space="preserve">Internal Revenue Service — Criminal Investigation (IRS CI)</w:t>
      </w:r>
    </w:p>
    <w:p>
      <w:pPr>
        <w:pBdr>
          <w:bottom w:val="single" w:color="0D9488" w:sz="3" w:space="1"/>
        </w:pBdr>
        <w:spacing w:after="0" w:before="0"/>
      </w:pPr>
      <w:r>
        <w:t xml:space="preserve"/>
      </w:r>
    </w:p>
    <w:p>
      <w:pPr>
        <w:spacing w:after="120" w:before="60"/>
      </w:pPr>
      <w:r>
        <w:t xml:space="preserve"/>
      </w:r>
    </w:p>
    <w:p>
      <w:pPr>
        <w:spacing w:after="160" w:before="100"/>
        <w:jc w:val="both"/>
      </w:pPr>
      <w:r>
        <w:rPr>
          <w:rFonts w:ascii="Arial" w:cs="Arial" w:eastAsia="Arial" w:hAnsi="Arial"/>
          <w:b w:val="false"/>
          <w:bCs w:val="false"/>
          <w:i w:val="false"/>
          <w:iCs w:val="false"/>
          <w:color w:val="1E293B"/>
          <w:sz w:val="22"/>
          <w:szCs w:val="22"/>
        </w:rPr>
        <w:t xml:space="preserve">ECS is supporting IRS Criminal Investigation on a multi-year enterprise transformation spanning seven integrated ServiceNow workstreams: ITSM, HRSD, ITAM, ITOM, SPM, SecOps, and platform integrations. The engagement centers on transitioning CI's service desk operations out of the broader IRS shared environment into a dedicated instance designed for CI's mission — a migration that required an OOTB foundation from day one rather than replicating legacy shared-environment patterns.</w:t>
      </w:r>
    </w:p>
    <w:p>
      <w:pPr>
        <w:spacing w:after="160" w:before="100"/>
        <w:jc w:val="both"/>
      </w:pPr>
      <w:r>
        <w:rPr>
          <w:rFonts w:ascii="Arial" w:cs="Arial" w:eastAsia="Arial" w:hAnsi="Arial"/>
          <w:b w:val="false"/>
          <w:bCs w:val="false"/>
          <w:i w:val="false"/>
          <w:iCs w:val="false"/>
          <w:color w:val="1E293B"/>
          <w:sz w:val="22"/>
          <w:szCs w:val="22"/>
        </w:rPr>
        <w:t xml:space="preserve">ECS led the design and implementation using ServiceNow best practices, with a self-service roadmap that includes Virtual Agent and a forward path to Agentic AI. In parallel, ECS is supporting organizational change management, communications, and training to ensure adoption, and has established baseline performance metrics and executive dashboards to drive data-based decisions. This engagement demonstrates what an OOTB-first, multi-workstream implementation looks like at mission-critical scale.</w:t>
      </w:r>
    </w:p>
    <w:p>
      <w:pPr>
        <w:spacing w:after="80" w:before="80"/>
      </w:pPr>
      <w:r>
        <w:t xml:space="preserve"/>
      </w:r>
    </w:p>
    <w:p>
      <w:pPr>
        <w:spacing w:after="60" w:before="240"/>
      </w:pPr>
      <w:r>
        <w:rPr>
          <w:rFonts w:ascii="Arial" w:cs="Arial" w:eastAsia="Arial" w:hAnsi="Arial"/>
          <w:b/>
          <w:bCs/>
          <w:color w:val="0B1F3A"/>
          <w:sz w:val="23"/>
          <w:szCs w:val="23"/>
        </w:rPr>
        <w:t xml:space="preserve">U.S. Mint</w:t>
      </w:r>
    </w:p>
    <w:p>
      <w:pPr>
        <w:pBdr>
          <w:bottom w:val="single" w:color="0D9488" w:sz="3" w:space="1"/>
        </w:pBdr>
        <w:spacing w:after="0" w:before="0"/>
      </w:pPr>
      <w:r>
        <w:t xml:space="preserve"/>
      </w:r>
    </w:p>
    <w:p>
      <w:pPr>
        <w:spacing w:after="120" w:before="60"/>
      </w:pPr>
      <w:r>
        <w:t xml:space="preserve"/>
      </w:r>
    </w:p>
    <w:p>
      <w:pPr>
        <w:spacing w:after="160" w:before="100"/>
        <w:jc w:val="both"/>
      </w:pPr>
      <w:r>
        <w:rPr>
          <w:rFonts w:ascii="Arial" w:cs="Arial" w:eastAsia="Arial" w:hAnsi="Arial"/>
          <w:b w:val="false"/>
          <w:bCs w:val="false"/>
          <w:i w:val="false"/>
          <w:iCs w:val="false"/>
          <w:color w:val="1E293B"/>
          <w:sz w:val="22"/>
          <w:szCs w:val="22"/>
        </w:rPr>
        <w:t xml:space="preserve">ECS served as the U.S. Mint's IT Service Provisioning and Operations provider across IT Operations, Service Desk, and Applications Management. The engagement began with a full migration from the Mint's legacy ITSM tool to a new ServiceNow platform — establishing CMDB with Discovery, ITSM, Service Mapping, and Performance Analytics from the ground up, and integrating ServiceNow with a full ecosystem of third-party tools including LDAP, SCCM/MECM, Intune, the Adobe and Microsoft stacks, MuleSoft, Cisco Catalyst, ScienceLogic, Entrust, and CrowdStrike.</w:t>
      </w:r>
    </w:p>
    <w:p>
      <w:pPr>
        <w:spacing w:after="160" w:before="100"/>
        <w:jc w:val="both"/>
      </w:pPr>
      <w:r>
        <w:rPr>
          <w:rFonts w:ascii="Arial" w:cs="Arial" w:eastAsia="Arial" w:hAnsi="Arial"/>
          <w:b w:val="false"/>
          <w:bCs w:val="false"/>
          <w:i w:val="false"/>
          <w:iCs w:val="false"/>
          <w:color w:val="1E293B"/>
          <w:sz w:val="22"/>
          <w:szCs w:val="22"/>
        </w:rPr>
        <w:t xml:space="preserve">That disciplined OOTB foundation enabled five years of iterative capability growth. ECS subsequently implemented Hardware Asset Management Pro, Software Asset Management Pro, and Governance, Risk, and Compliance (GRC) — each addition straightforward because the underlying platform had stayed clean. The Mint engagement is a direct demonstration of what a well-built foundation enables: consistent year-over-year expansion without the rework a customized baseline would have required.</w:t>
      </w:r>
    </w:p>
    <w:p>
      <w:pPr>
        <w:spacing w:after="80" w:before="80"/>
      </w:pPr>
      <w:r>
        <w:t xml:space="preserve"/>
      </w:r>
    </w:p>
    <w:p>
      <w:pPr>
        <w:spacing w:after="60" w:before="240"/>
      </w:pPr>
      <w:r>
        <w:rPr>
          <w:rFonts w:ascii="Arial" w:cs="Arial" w:eastAsia="Arial" w:hAnsi="Arial"/>
          <w:b/>
          <w:bCs/>
          <w:color w:val="0B1F3A"/>
          <w:sz w:val="23"/>
          <w:szCs w:val="23"/>
        </w:rPr>
        <w:t xml:space="preserve">Los Alamos National Laboratory (LANL)</w:t>
      </w:r>
    </w:p>
    <w:p>
      <w:pPr>
        <w:pBdr>
          <w:bottom w:val="single" w:color="0D9488" w:sz="3" w:space="1"/>
        </w:pBdr>
        <w:spacing w:after="0" w:before="0"/>
      </w:pPr>
      <w:r>
        <w:t xml:space="preserve"/>
      </w:r>
    </w:p>
    <w:p>
      <w:pPr>
        <w:spacing w:after="120" w:before="60"/>
      </w:pPr>
      <w:r>
        <w:t xml:space="preserve"/>
      </w:r>
    </w:p>
    <w:p>
      <w:pPr>
        <w:spacing w:after="160" w:before="100"/>
        <w:jc w:val="both"/>
      </w:pPr>
      <w:r>
        <w:rPr>
          <w:rFonts w:ascii="Arial" w:cs="Arial" w:eastAsia="Arial" w:hAnsi="Arial"/>
          <w:b w:val="false"/>
          <w:bCs w:val="false"/>
          <w:i w:val="false"/>
          <w:iCs w:val="false"/>
          <w:color w:val="1E293B"/>
          <w:sz w:val="22"/>
          <w:szCs w:val="22"/>
        </w:rPr>
        <w:t xml:space="preserve">Los Alamos National Laboratory engaged ECS to modernize IT operations by replacing highly customized legacy tools with a standards-based platform on ServiceNow's FedRAMP Government Communication Cloud. ECS established governance, completed core system setup, and implemented ITSM first — building a foundation the Lab's internal team could own. That delivery earned ECS additional engagements: CMDB expansion with Cost and Asset Management, ITBM (Project Portfolio Management, Demand Management, Idea Management), HR Service Delivery, and Performance Analytics.</w:t>
      </w:r>
    </w:p>
    <w:p>
      <w:pPr>
        <w:spacing w:after="160" w:before="100"/>
        <w:jc w:val="both"/>
      </w:pPr>
      <w:r>
        <w:rPr>
          <w:rFonts w:ascii="Arial" w:cs="Arial" w:eastAsia="Arial" w:hAnsi="Arial"/>
          <w:b w:val="false"/>
          <w:bCs w:val="false"/>
          <w:i w:val="false"/>
          <w:iCs w:val="false"/>
          <w:color w:val="1E293B"/>
          <w:sz w:val="22"/>
          <w:szCs w:val="22"/>
        </w:rPr>
        <w:t xml:space="preserve">Each phase built directly on the OOTB foundation of the prior one. ECS also developed LANL's asset management and configuration management strategy, integrating with Microsoft SCCM and JAMF. The progression from ITSM to CMDB to workforce and portfolio management to analytics is the model the OOTB-first approach is designed to enable — executed across multiple years without needing to re-engineer the base layer.</w:t>
      </w:r>
    </w:p>
    <w:p>
      <w:pPr>
        <w:spacing w:after="80" w:before="80"/>
      </w:pPr>
      <w:r>
        <w:t xml:space="preserve"/>
      </w:r>
    </w:p>
    <w:p>
      <w:pPr>
        <w:spacing w:after="60" w:before="240"/>
      </w:pPr>
      <w:r>
        <w:rPr>
          <w:rFonts w:ascii="Arial" w:cs="Arial" w:eastAsia="Arial" w:hAnsi="Arial"/>
          <w:b/>
          <w:bCs/>
          <w:color w:val="0B1F3A"/>
          <w:sz w:val="23"/>
          <w:szCs w:val="23"/>
        </w:rPr>
        <w:t xml:space="preserve">U.S. Space Command (USSPACECOM)</w:t>
      </w:r>
    </w:p>
    <w:p>
      <w:pPr>
        <w:pBdr>
          <w:bottom w:val="single" w:color="0D9488" w:sz="3" w:space="1"/>
        </w:pBdr>
        <w:spacing w:after="0" w:before="0"/>
      </w:pPr>
      <w:r>
        <w:t xml:space="preserve"/>
      </w:r>
    </w:p>
    <w:p>
      <w:pPr>
        <w:spacing w:after="120" w:before="60"/>
      </w:pPr>
      <w:r>
        <w:t xml:space="preserve"/>
      </w:r>
    </w:p>
    <w:p>
      <w:pPr>
        <w:spacing w:after="160" w:before="100"/>
        <w:jc w:val="both"/>
      </w:pPr>
      <w:r>
        <w:rPr>
          <w:rFonts w:ascii="Arial" w:cs="Arial" w:eastAsia="Arial" w:hAnsi="Arial"/>
          <w:b w:val="false"/>
          <w:bCs w:val="false"/>
          <w:i w:val="false"/>
          <w:iCs w:val="false"/>
          <w:color w:val="1E293B"/>
          <w:sz w:val="22"/>
          <w:szCs w:val="22"/>
        </w:rPr>
        <w:t xml:space="preserve">ECS provided ServiceNow implementation and O&amp;M services to USSPACECOM, standing up the core platform across 12 command directorates using agile delivery and collaborative stakeholder workshops. Core applications included CMDB, ITSM (Incident, Problem, Knowledge, Change, Request), Hardware and Software Asset Management, Service Portal, and HRSD Onboarding. Over the five-year engagement, ECS expanded the platform to include Workplace Service Delivery and supported USSPACECOM through the full ATO process for both IL5 and IL6 environments.</w:t>
      </w:r>
    </w:p>
    <w:p>
      <w:pPr>
        <w:spacing w:after="160" w:before="100"/>
        <w:jc w:val="both"/>
      </w:pPr>
      <w:r>
        <w:rPr>
          <w:rFonts w:ascii="Arial" w:cs="Arial" w:eastAsia="Arial" w:hAnsi="Arial"/>
          <w:b w:val="false"/>
          <w:bCs w:val="false"/>
          <w:i w:val="false"/>
          <w:iCs w:val="false"/>
          <w:color w:val="1E293B"/>
          <w:sz w:val="22"/>
          <w:szCs w:val="22"/>
        </w:rPr>
        <w:t xml:space="preserve">The IL6 configuration — among the most demanding security environments in which ServiceNow is deployed — was achievable because the OOTB foundation had been kept clean and documented throughout. USSPACECOM demonstrates that the OOTB-first methodology holds in high-security, mission-critical environments and supports progressive capability expansion without foundational rework.</w:t>
      </w:r>
    </w:p>
    <w:p>
      <w:pPr>
        <w:spacing w:after="80" w:before="80"/>
      </w:pPr>
      <w:r>
        <w:t xml:space="preserve"/>
      </w:r>
    </w:p>
    <w:p>
      <w:pPr>
        <w:spacing w:after="60" w:before="240"/>
      </w:pPr>
      <w:r>
        <w:rPr>
          <w:rFonts w:ascii="Arial" w:cs="Arial" w:eastAsia="Arial" w:hAnsi="Arial"/>
          <w:b/>
          <w:bCs/>
          <w:color w:val="0B1F3A"/>
          <w:sz w:val="23"/>
          <w:szCs w:val="23"/>
        </w:rPr>
        <w:t xml:space="preserve">Defense Manpower Data Center (DMDC)</w:t>
      </w:r>
    </w:p>
    <w:p>
      <w:pPr>
        <w:pBdr>
          <w:bottom w:val="single" w:color="0D9488" w:sz="3" w:space="1"/>
        </w:pBdr>
        <w:spacing w:after="0" w:before="0"/>
      </w:pPr>
      <w:r>
        <w:t xml:space="preserve"/>
      </w:r>
    </w:p>
    <w:p>
      <w:pPr>
        <w:spacing w:after="120" w:before="60"/>
      </w:pPr>
      <w:r>
        <w:t xml:space="preserve"/>
      </w:r>
    </w:p>
    <w:p>
      <w:pPr>
        <w:spacing w:after="160" w:before="100"/>
        <w:jc w:val="both"/>
      </w:pPr>
      <w:r>
        <w:rPr>
          <w:rFonts w:ascii="Arial" w:cs="Arial" w:eastAsia="Arial" w:hAnsi="Arial"/>
          <w:b w:val="false"/>
          <w:bCs w:val="false"/>
          <w:i w:val="false"/>
          <w:iCs w:val="false"/>
          <w:color w:val="1E293B"/>
          <w:sz w:val="22"/>
          <w:szCs w:val="22"/>
        </w:rPr>
        <w:t xml:space="preserve">DMDC is the most direct parallel to the challenge Connection is solving. ECS stepped into a highly fragmented environment with significant unresolved technical debt and a customer whose confidence had been eroded by a prior vendor transition. Rather than building on top of the instability, ECS prioritized stabilization first — addressing critical programs before expanding scope. That approach rebuilt trust quickly and established a clean operational baseline from which a credible forward roadmap could be built.</w:t>
      </w:r>
    </w:p>
    <w:p>
      <w:pPr>
        <w:spacing w:after="160" w:before="100"/>
        <w:jc w:val="both"/>
      </w:pPr>
      <w:r>
        <w:rPr>
          <w:rFonts w:ascii="Arial" w:cs="Arial" w:eastAsia="Arial" w:hAnsi="Arial"/>
          <w:b w:val="false"/>
          <w:bCs w:val="false"/>
          <w:i w:val="false"/>
          <w:iCs w:val="false"/>
          <w:color w:val="1E293B"/>
          <w:sz w:val="22"/>
          <w:szCs w:val="22"/>
        </w:rPr>
        <w:t xml:space="preserve">From that stabilized foundation, ECS systematically grew DMDC's platform across eight workstreams — ITSM, CSM, SPM, ITOM, HRSD, and DevOps — using automated workflows for cross-departmental lifecycle events and integrating ServiceNow with Tanium, Elastic Kibana, and DMDC-specific applications. Today ECS is leading DMDC's integration of advanced AI capabilities: Virtual Agent, Generative AI, and AI Control Tower. The DMDC story is the OOTB-first approach applied to an inherited environment: stabilize first, build the roadmap on what is clean, and let AI follow the foundation.</w:t>
      </w:r>
    </w:p>
    <w:p>
      <w:r>
        <w:br w:type="page"/>
      </w:r>
    </w:p>
    <w:p>
      <w:pPr>
        <w:pStyle w:val="Heading1"/>
        <w:spacing w:after="100" w:before="320"/>
      </w:pPr>
      <w:r>
        <w:rPr>
          <w:rFonts w:ascii="Arial" w:cs="Arial" w:eastAsia="Arial" w:hAnsi="Arial"/>
          <w:b/>
          <w:bCs/>
          <w:color w:val="0B1F3A"/>
          <w:sz w:val="28"/>
          <w:szCs w:val="28"/>
        </w:rPr>
        <w:t xml:space="preserve">How We Work Together</w:t>
      </w:r>
    </w:p>
    <w:p>
      <w:pPr>
        <w:pBdr>
          <w:bottom w:val="single" w:color="14B8A6" w:sz="8" w:space="1"/>
        </w:pBdr>
        <w:spacing w:after="0" w:before="0"/>
      </w:pPr>
      <w:r>
        <w:t xml:space="preserve"/>
      </w:r>
    </w:p>
    <w:p>
      <w:pPr>
        <w:spacing w:after="120" w:before="120"/>
      </w:pPr>
      <w:r>
        <w:t xml:space="preserve"/>
      </w:r>
    </w:p>
    <w:p>
      <w:pPr>
        <w:spacing w:after="160" w:before="100"/>
        <w:jc w:val="both"/>
      </w:pPr>
      <w:r>
        <w:rPr>
          <w:rFonts w:ascii="Arial" w:cs="Arial" w:eastAsia="Arial" w:hAnsi="Arial"/>
          <w:b w:val="false"/>
          <w:bCs w:val="false"/>
          <w:i w:val="false"/>
          <w:iCs w:val="false"/>
          <w:color w:val="1E293B"/>
          <w:sz w:val="22"/>
          <w:szCs w:val="22"/>
        </w:rPr>
        <w:t xml:space="preserve">The governing principle is straightforward: ServiceNow's native capabilities are the starting point for every requirement. Before anything custom is built, we exhaust what the platform can do through standard configuration, workflows, and integration tools — and in practice, that covers more than 90 percent of what organizations need. This is not a constraint on what Connection can achieve. It is the discipline that keeps the platform upgradeable, AI-ready, and maintainable by Connection's own team long after go-live.</w:t>
      </w:r>
    </w:p>
    <w:p>
      <w:pPr>
        <w:spacing w:after="160" w:before="100"/>
        <w:jc w:val="both"/>
      </w:pPr>
      <w:r>
        <w:rPr>
          <w:rFonts w:ascii="Arial" w:cs="Arial" w:eastAsia="Arial" w:hAnsi="Arial"/>
          <w:b w:val="false"/>
          <w:bCs w:val="false"/>
          <w:i w:val="false"/>
          <w:iCs w:val="false"/>
          <w:color w:val="1E293B"/>
          <w:sz w:val="22"/>
          <w:szCs w:val="22"/>
        </w:rPr>
        <w:t xml:space="preserve">When a requirement genuinely cannot be met through standard configuration, we work through it together — evaluating the business need, the level of effort to build a custom solution, and what it means to carry that code through future upgrades. Every one of those decisions is joint, documented, and visible to both sides. No surprises, no hidden trade-offs. The result is a platform Connection owns with confidence, not one that requires a consultant to explain every six months.</w:t>
      </w:r>
    </w:p>
    <w:p>
      <w:r>
        <w:br w:type="page"/>
      </w:r>
    </w:p>
    <w:p>
      <w:pPr>
        <w:pStyle w:val="Heading1"/>
        <w:spacing w:after="100" w:before="320"/>
      </w:pPr>
      <w:r>
        <w:rPr>
          <w:rFonts w:ascii="Arial" w:cs="Arial" w:eastAsia="Arial" w:hAnsi="Arial"/>
          <w:b/>
          <w:bCs/>
          <w:color w:val="0B1F3A"/>
          <w:sz w:val="28"/>
          <w:szCs w:val="28"/>
        </w:rPr>
        <w:t xml:space="preserve">The 18-Week Roadmap</w:t>
      </w:r>
    </w:p>
    <w:p>
      <w:pPr>
        <w:pBdr>
          <w:bottom w:val="single" w:color="14B8A6" w:sz="8" w:space="1"/>
        </w:pBdr>
        <w:spacing w:after="0" w:before="0"/>
      </w:pPr>
      <w:r>
        <w:t xml:space="preserve"/>
      </w:r>
    </w:p>
    <w:p>
      <w:pPr>
        <w:spacing w:after="120" w:before="120"/>
      </w:pPr>
      <w:r>
        <w:t xml:space="preserve"/>
      </w:r>
    </w:p>
    <w:p>
      <w:pPr>
        <w:spacing w:after="160" w:before="100"/>
        <w:jc w:val="both"/>
      </w:pPr>
      <w:r>
        <w:rPr>
          <w:rFonts w:ascii="Arial" w:cs="Arial" w:eastAsia="Arial" w:hAnsi="Arial"/>
          <w:b w:val="false"/>
          <w:bCs w:val="false"/>
          <w:i w:val="false"/>
          <w:iCs w:val="false"/>
          <w:color w:val="1E293B"/>
          <w:sz w:val="22"/>
          <w:szCs w:val="22"/>
        </w:rPr>
        <w:t xml:space="preserve">Phase 1 runs 18 weeks: Sprint 0 for governance setup and alignment, six two-week build sprints, and two weeks of Hypercare. Each sprint delivers working, demonstrable capability. The engagement closes with a knowledge transfer library, documented SOPs, admin enablement, and a 12-month forward roadmap.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0B1F3A" w:sz="1"/>
              <w:left w:val="single" w:color="0B1F3A" w:sz="1"/>
              <w:bottom w:val="single" w:color="0B1F3A" w:sz="1"/>
              <w:right w:val="single" w:color="0B1F3A" w:sz="1"/>
            </w:tcBorders>
            <w:shd w:fill="0B1F3A"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2300"/>
            <w:tcBorders>
              <w:top w:val="single" w:color="0B1F3A" w:sz="1"/>
              <w:left w:val="single" w:color="0B1F3A" w:sz="1"/>
              <w:bottom w:val="single" w:color="0B1F3A" w:sz="1"/>
              <w:right w:val="single" w:color="0B1F3A" w:sz="1"/>
            </w:tcBorders>
            <w:shd w:fill="0B1F3A" w:val="clear"/>
            <w:tcMar>
              <w:top w:type="dxa" w:w="80"/>
              <w:left w:type="dxa" w:w="120"/>
              <w:bottom w:type="dxa" w:w="80"/>
              <w:right w:type="dxa" w:w="120"/>
            </w:tcMar>
          </w:tcPr>
          <w:p>
            <w:r>
              <w:rPr>
                <w:rFonts w:ascii="Arial" w:cs="Arial" w:eastAsia="Arial" w:hAnsi="Arial"/>
                <w:b/>
                <w:bCs/>
                <w:color w:val="FFFFFF"/>
                <w:sz w:val="21"/>
                <w:szCs w:val="21"/>
              </w:rPr>
              <w:t xml:space="preserve">Theme</w:t>
            </w:r>
          </w:p>
        </w:tc>
        <w:tc>
          <w:tcPr>
            <w:tcW w:type="dxa" w:w="5560"/>
            <w:tcBorders>
              <w:top w:val="single" w:color="0B1F3A" w:sz="1"/>
              <w:left w:val="single" w:color="0B1F3A" w:sz="1"/>
              <w:bottom w:val="single" w:color="0B1F3A" w:sz="1"/>
              <w:right w:val="single" w:color="0B1F3A" w:sz="1"/>
            </w:tcBorders>
            <w:shd w:fill="0B1F3A" w:val="clear"/>
            <w:tcMar>
              <w:top w:type="dxa" w:w="80"/>
              <w:left w:type="dxa" w:w="120"/>
              <w:bottom w:type="dxa" w:w="80"/>
              <w:right w:type="dxa" w:w="120"/>
            </w:tcMar>
          </w:tcPr>
          <w:p>
            <w:r>
              <w:rPr>
                <w:rFonts w:ascii="Arial" w:cs="Arial" w:eastAsia="Arial" w:hAnsi="Arial"/>
                <w:b/>
                <w:bCs/>
                <w:color w:val="FFFFFF"/>
                <w:sz w:val="21"/>
                <w:szCs w:val="21"/>
              </w:rPr>
              <w:t xml:space="preserve">What Lands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Sprint 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Alignment &amp; Governance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Governance Charter, Customization Council, CSDM data model workshop, Foundation Data Accelerator Pack, Discovery and Service Graph Connectors configured</w:t>
            </w:r>
          </w:p>
        </w:tc>
      </w:tr>
      <w:tr>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1"/>
                <w:szCs w:val="21"/>
              </w:rPr>
              <w:t xml:space="preserve">Month 1</w:t>
            </w:r>
          </w:p>
        </w:tc>
        <w:tc>
          <w:tcPr>
            <w:tcW w:type="dxa" w:w="2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1"/>
                <w:szCs w:val="21"/>
              </w:rPr>
              <w:t xml:space="preserve">Foundation &amp; CMDB</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1"/>
                <w:szCs w:val="21"/>
              </w:rPr>
              <w:t xml:space="preserve">CSDM-aligned CMDB populated; Discovery ingesting from SCCM/Intune; service taxonomy normalized; architecture validated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Month 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ITSM Core &amp; Change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Incident, Problem, and Request on OOTB workflows; Change/CAB Workbench live; first catalog items; SLAs configured</w:t>
            </w:r>
          </w:p>
        </w:tc>
      </w:tr>
      <w:tr>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1"/>
                <w:szCs w:val="21"/>
              </w:rPr>
              <w:t xml:space="preserve">Month 3</w:t>
            </w:r>
          </w:p>
        </w:tc>
        <w:tc>
          <w:tcPr>
            <w:tcW w:type="dxa" w:w="2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1"/>
                <w:szCs w:val="21"/>
              </w:rPr>
              <w:t xml:space="preserve">Advanced Capabilities</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1"/>
                <w:szCs w:val="21"/>
              </w:rPr>
              <w:t xml:space="preserve">Employee Center; Virtual Agent initial topics; AI Search; Knowledge Management curated; Performance Analytics dashboards; HAM Foundations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Month 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Validate &amp; Go-Live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UAT; knowledge transfer and admin enablement; governed cutover; Hypercare; 12-month forward roadmap delivered</w:t>
            </w:r>
          </w:p>
        </w:tc>
      </w:tr>
    </w:tbl>
    <w:p>
      <w:pPr>
        <w:spacing w:after="80" w:before="160"/>
      </w:pPr>
      <w:r>
        <w:t xml:space="preserve"/>
      </w:r>
    </w:p>
    <w:p>
      <w:pPr>
        <w:pStyle w:val="Heading2"/>
        <w:spacing w:after="80" w:before="220"/>
      </w:pPr>
      <w:r>
        <w:rPr>
          <w:rFonts w:ascii="Arial" w:cs="Arial" w:eastAsia="Arial" w:hAnsi="Arial"/>
          <w:b/>
          <w:bCs/>
          <w:color w:val="0D9488"/>
          <w:sz w:val="24"/>
          <w:szCs w:val="24"/>
        </w:rPr>
        <w:t xml:space="preserve">What Connection Has at Go-Live</w:t>
      </w:r>
    </w:p>
    <w:p>
      <w:pPr>
        <w:pStyle w:val="ListParagraph"/>
        <w:numPr>
          <w:ilvl w:val="0"/>
          <w:numId w:val="2"/>
        </w:numPr>
        <w:spacing w:after="50" w:before="50"/>
      </w:pPr>
      <w:r>
        <w:rPr>
          <w:rFonts w:ascii="Arial" w:cs="Arial" w:eastAsia="Arial" w:hAnsi="Arial"/>
          <w:color w:val="1E293B"/>
          <w:sz w:val="22"/>
          <w:szCs w:val="22"/>
        </w:rPr>
        <w:t xml:space="preserve">A clean, OOTB-aligned instance with ITSM Core, CMDB, Employee Center, Virtual Agent, AI Search, and Performance Analytics live — technical debt retired, not carried forward.</w:t>
      </w:r>
    </w:p>
    <w:p>
      <w:pPr>
        <w:pStyle w:val="ListParagraph"/>
        <w:numPr>
          <w:ilvl w:val="0"/>
          <w:numId w:val="2"/>
        </w:numPr>
        <w:spacing w:after="50" w:before="50"/>
      </w:pPr>
      <w:r>
        <w:rPr>
          <w:rFonts w:ascii="Arial" w:cs="Arial" w:eastAsia="Arial" w:hAnsi="Arial"/>
          <w:color w:val="1E293B"/>
          <w:sz w:val="22"/>
          <w:szCs w:val="22"/>
        </w:rPr>
        <w:t xml:space="preserve">A CSDM-aligned data model that makes Predictive Intelligence, AI features, and future capability additions work the way they were designed to.</w:t>
      </w:r>
    </w:p>
    <w:p>
      <w:pPr>
        <w:pStyle w:val="ListParagraph"/>
        <w:numPr>
          <w:ilvl w:val="0"/>
          <w:numId w:val="2"/>
        </w:numPr>
        <w:spacing w:after="50" w:before="50"/>
      </w:pPr>
      <w:r>
        <w:rPr>
          <w:rFonts w:ascii="Arial" w:cs="Arial" w:eastAsia="Arial" w:hAnsi="Arial"/>
          <w:color w:val="1E293B"/>
          <w:sz w:val="22"/>
          <w:szCs w:val="22"/>
        </w:rPr>
        <w:t xml:space="preserve">A platform team that has been through knowledge transfer and can own, operate, and extend what was built without ongoing ECS dependency.</w:t>
      </w:r>
    </w:p>
    <w:p>
      <w:pPr>
        <w:pStyle w:val="ListParagraph"/>
        <w:numPr>
          <w:ilvl w:val="0"/>
          <w:numId w:val="2"/>
        </w:numPr>
        <w:spacing w:after="50" w:before="50"/>
      </w:pPr>
      <w:r>
        <w:rPr>
          <w:rFonts w:ascii="Arial" w:cs="Arial" w:eastAsia="Arial" w:hAnsi="Arial"/>
          <w:color w:val="1E293B"/>
          <w:sz w:val="22"/>
          <w:szCs w:val="22"/>
        </w:rPr>
        <w:t xml:space="preserve">A 12-month forward roadmap connecting Phase 1 outcomes to Phase 2 and Phase 3 — so the next conversation has a clear starting point.</w:t>
      </w:r>
    </w:p>
    <w:p>
      <w:r>
        <w:br w:type="page"/>
      </w:r>
    </w:p>
    <w:p>
      <w:pPr>
        <w:pStyle w:val="Heading1"/>
        <w:spacing w:after="100" w:before="320"/>
      </w:pPr>
      <w:r>
        <w:rPr>
          <w:rFonts w:ascii="Arial" w:cs="Arial" w:eastAsia="Arial" w:hAnsi="Arial"/>
          <w:b/>
          <w:bCs/>
          <w:color w:val="0B1F3A"/>
          <w:sz w:val="28"/>
          <w:szCs w:val="28"/>
        </w:rPr>
        <w:t xml:space="preserve">The Long-Term Payoff</w:t>
      </w:r>
    </w:p>
    <w:p>
      <w:pPr>
        <w:pBdr>
          <w:bottom w:val="single" w:color="14B8A6" w:sz="8" w:space="1"/>
        </w:pBdr>
        <w:spacing w:after="0" w:before="0"/>
      </w:pPr>
      <w:r>
        <w:t xml:space="preserve"/>
      </w:r>
    </w:p>
    <w:p>
      <w:pPr>
        <w:spacing w:after="120" w:before="120"/>
      </w:pPr>
      <w:r>
        <w:t xml:space="preserve"/>
      </w:r>
    </w:p>
    <w:p>
      <w:pPr>
        <w:spacing w:after="160" w:before="100"/>
        <w:jc w:val="both"/>
      </w:pPr>
      <w:r>
        <w:rPr>
          <w:rFonts w:ascii="Arial" w:cs="Arial" w:eastAsia="Arial" w:hAnsi="Arial"/>
          <w:b w:val="false"/>
          <w:bCs w:val="false"/>
          <w:i w:val="false"/>
          <w:iCs w:val="false"/>
          <w:color w:val="1E293B"/>
          <w:sz w:val="22"/>
          <w:szCs w:val="22"/>
        </w:rPr>
        <w:t xml:space="preserve">The AI capabilities in Connection's ServiceNow license — Now Assist, Predictive Intelligence, Virtual Agent, AI Search, Agentic Agents — all require the same foundation Phase 1 builds: a clean data model, standard workflows, and curated content. They cannot reach around customizations. Organizations that try to turn on AI features on a fragmented instance spend more time troubleshooting than they do realizing value. Connection will be in a different position — one where those capabilities activate through configuration because the foundation is already there.</w:t>
      </w:r>
    </w:p>
    <w:p>
      <w:pPr>
        <w:spacing w:after="160" w:before="100"/>
        <w:jc w:val="both"/>
      </w:pPr>
      <w:r>
        <w:rPr>
          <w:rFonts w:ascii="Arial" w:cs="Arial" w:eastAsia="Arial" w:hAnsi="Arial"/>
          <w:b w:val="false"/>
          <w:bCs w:val="false"/>
          <w:i w:val="false"/>
          <w:iCs w:val="false"/>
          <w:color w:val="1E293B"/>
          <w:sz w:val="22"/>
          <w:szCs w:val="22"/>
        </w:rPr>
        <w:t xml:space="preserve">Phase 2 and Phase 3 build on that foundation — expanding the catalog, adding SAM, bringing in Event Management and Service Mapping, and completing the intelligence picture. Each phase compounds the prior without rework. The goal is a platform that keeps getting more capable over time, not one that requires a reset every few years to stay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B8A6" w:sz="1"/>
              <w:left w:val="single" w:color="14B8A6" w:sz="1"/>
              <w:bottom w:val="single" w:color="14B8A6" w:sz="1"/>
              <w:right w:val="single" w:color="14B8A6" w:sz="1"/>
            </w:tcBorders>
            <w:shd w:fill="E6FAFA" w:val="clear"/>
            <w:tcMar>
              <w:top w:type="dxa" w:w="140"/>
              <w:left w:type="dxa" w:w="220"/>
              <w:bottom w:type="dxa" w:w="140"/>
              <w:right w:type="dxa" w:w="220"/>
            </w:tcMar>
          </w:tcPr>
          <w:p>
            <w:pPr>
              <w:spacing w:after="50" w:before="50"/>
            </w:pPr>
            <w:r>
              <w:rPr>
                <w:rFonts w:ascii="Arial" w:cs="Arial" w:eastAsia="Arial" w:hAnsi="Arial"/>
                <w:i/>
                <w:iCs/>
                <w:color w:val="1E293B"/>
                <w:sz w:val="22"/>
                <w:szCs w:val="22"/>
              </w:rPr>
              <w:t xml:space="preserve">"The organizations that realize the most value from ServiceNow are not those that customized</w:t>
            </w:r>
          </w:p>
          <w:p>
            <w:pPr>
              <w:spacing w:after="50" w:before="50"/>
            </w:pPr>
            <w:r>
              <w:rPr>
                <w:rFonts w:ascii="Arial" w:cs="Arial" w:eastAsia="Arial" w:hAnsi="Arial"/>
                <w:i/>
                <w:iCs/>
                <w:color w:val="1E293B"/>
                <w:sz w:val="22"/>
                <w:szCs w:val="22"/>
              </w:rPr>
              <w:t xml:space="preserve">most aggressively. They are those that built the cleanest foundation and then let the platform's</w:t>
            </w:r>
          </w:p>
          <w:p>
            <w:pPr>
              <w:spacing w:after="50" w:before="50"/>
            </w:pPr>
            <w:r>
              <w:rPr>
                <w:rFonts w:ascii="Arial" w:cs="Arial" w:eastAsia="Arial" w:hAnsi="Arial"/>
                <w:i/>
                <w:iCs/>
                <w:color w:val="1E293B"/>
                <w:sz w:val="22"/>
                <w:szCs w:val="22"/>
              </w:rPr>
              <w:t xml:space="preserve">own capabilities do the work. Connection is being positioned to be that organization."</w:t>
            </w:r>
          </w:p>
        </w:tc>
      </w:tr>
    </w:tbl>
    <w:p>
      <w:pPr>
        <w:spacing w:after="80" w:before="120"/>
      </w:pPr>
      <w:r>
        <w:t xml:space="preserve"/>
      </w:r>
    </w:p>
    <w:p>
      <w:pPr>
        <w:pStyle w:val="Heading2"/>
        <w:spacing w:after="80" w:before="220"/>
      </w:pPr>
      <w:r>
        <w:rPr>
          <w:rFonts w:ascii="Arial" w:cs="Arial" w:eastAsia="Arial" w:hAnsi="Arial"/>
          <w:b/>
          <w:bCs/>
          <w:color w:val="0D9488"/>
          <w:sz w:val="24"/>
          <w:szCs w:val="24"/>
        </w:rPr>
        <w:t xml:space="preserve">When Customization Is the Right Call</w:t>
      </w:r>
    </w:p>
    <w:p>
      <w:pPr>
        <w:spacing w:after="160" w:before="100"/>
        <w:jc w:val="both"/>
      </w:pPr>
      <w:r>
        <w:rPr>
          <w:rFonts w:ascii="Arial" w:cs="Arial" w:eastAsia="Arial" w:hAnsi="Arial"/>
          <w:b w:val="false"/>
          <w:bCs w:val="false"/>
          <w:i w:val="false"/>
          <w:iCs w:val="false"/>
          <w:color w:val="1E293B"/>
          <w:sz w:val="22"/>
          <w:szCs w:val="22"/>
        </w:rPr>
        <w:t xml:space="preserve">OOTB-first is a default, not an absolute. When a business need genuinely cannot be met through standard configuration — specific compliance requirements, a truly mission-critical workflow, an integration with no off-the-shelf connector — we build it. The difference is that it is a deliberate decision, made jointly, with a clear-eyed view of what it costs to maintain. That conversation is part of every engagement, and Connection is always part of it.</w:t>
      </w:r>
    </w:p>
    <w:p>
      <w:pPr>
        <w:spacing w:after="80" w:before="200"/>
      </w:pPr>
      <w:r>
        <w:t xml:space="preserve"/>
      </w:r>
    </w:p>
    <w:p>
      <w:pPr>
        <w:pBdr>
          <w:bottom w:val="single" w:color="0B1F3A" w:sz="4" w:space="1"/>
        </w:pBdr>
        <w:spacing w:after="0" w:before="0"/>
      </w:pPr>
      <w:r>
        <w:t xml:space="preserve"/>
      </w:r>
    </w:p>
    <w:p>
      <w:pPr>
        <w:spacing w:after="120" w:before="80"/>
      </w:pPr>
      <w:r>
        <w:t xml:space="preserve"/>
      </w:r>
    </w:p>
    <w:p>
      <w:pPr>
        <w:spacing w:after="60" w:before="0"/>
        <w:jc w:val="center"/>
      </w:pPr>
      <w:r>
        <w:rPr>
          <w:rFonts w:ascii="Arial" w:cs="Arial" w:eastAsia="Arial" w:hAnsi="Arial"/>
          <w:b/>
          <w:bCs/>
          <w:i w:val="false"/>
          <w:iCs w:val="false"/>
          <w:color w:val="0B1F3A"/>
          <w:sz w:val="20"/>
          <w:szCs w:val="20"/>
        </w:rPr>
        <w:t xml:space="preserve">ECS Federal  ·  ServiceNow Practice</w:t>
      </w:r>
    </w:p>
    <w:p>
      <w:pPr>
        <w:spacing w:after="60" w:before="0"/>
        <w:jc w:val="center"/>
      </w:pPr>
      <w:r>
        <w:rPr>
          <w:rFonts w:ascii="Arial" w:cs="Arial" w:eastAsia="Arial" w:hAnsi="Arial"/>
          <w:b w:val="false"/>
          <w:bCs w:val="false"/>
          <w:i/>
          <w:iCs/>
          <w:color w:val="64748B"/>
          <w:sz w:val="18"/>
          <w:szCs w:val="18"/>
        </w:rPr>
        <w:t xml:space="preserve">Prepared for Connection  ·  May 2025</w:t>
      </w:r>
    </w:p>
    <w:p>
      <w:pPr>
        <w:spacing w:after="0" w:before="0"/>
        <w:jc w:val="center"/>
      </w:pPr>
      <w:r>
        <w:rPr>
          <w:rFonts w:ascii="Arial" w:cs="Arial" w:eastAsia="Arial" w:hAnsi="Arial"/>
          <w:b w:val="false"/>
          <w:bCs w:val="false"/>
          <w:i w:val="false"/>
          <w:iCs w:val="false"/>
          <w:color w:val="64748B"/>
          <w:sz w:val="16"/>
          <w:szCs w:val="16"/>
        </w:rPr>
        <w:t xml:space="preserve">Confidential — for Connection and their organization</w:t>
      </w:r>
    </w:p>
    <w:sectPr>
      <w:headerReference w:type="default" r:id="rId7"/>
      <w:headerReference w:type="first" r:id="rId8"/>
      <w:footerReference w:type="default" r:id="rId9"/>
      <w:footerReference w:type="first" r:id="rId10"/>
      <w:pgSz w:w="12240" w:h="15840" w:orient="portrait"/>
      <w:pgMar w:top="1080" w:right="1260" w:bottom="108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14B8A6" w:sz="4" w:space="1"/>
      </w:pBdr>
      <w:spacing w:after="0" w:before="0"/>
    </w:pPr>
    <w:r>
      <w:t xml:space="preserve"/>
    </w:r>
  </w:p>
  <w:p>
    <w:pPr>
      <w:tabs>
        <w:tab w:val="right" w:pos="9026"/>
      </w:tabs>
      <w:spacing w:after="0" w:before="60"/>
    </w:pPr>
    <w:r>
      <w:rPr>
        <w:rFonts w:ascii="Arial" w:cs="Arial" w:eastAsia="Arial" w:hAnsi="Arial"/>
        <w:b w:val="false"/>
        <w:bCs w:val="false"/>
        <w:i w:val="false"/>
        <w:iCs w:val="false"/>
        <w:color w:val="64748B"/>
        <w:sz w:val="16"/>
        <w:szCs w:val="16"/>
      </w:rPr>
      <w:t xml:space="preserve">Confidential — for Connection and their organization</w:t>
    </w:r>
    <w:r>
      <w:rPr>
        <w:rFonts w:ascii="Arial" w:cs="Arial" w:eastAsia="Arial" w:hAnsi="Arial"/>
        <w:b w:val="false"/>
        <w:bCs w:val="false"/>
        <w:i w:val="false"/>
        <w:iCs w:val="false"/>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before="0"/>
    </w:pPr>
    <w:r>
      <w:drawing>
        <wp:inline distT="0" distB="0" distL="0" distR="0">
          <wp:extent cx="1524000" cy="285750"/>
          <wp:effectExtent t="0" r="0" b="0" l="0"/>
          <wp:docPr id="1" name="Logo" descr="Everforth EC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285750"/>
                  </a:xfrm>
                  <a:prstGeom prst="rect">
                    <a:avLst/>
                  </a:prstGeom>
                </pic:spPr>
              </pic:pic>
            </a:graphicData>
          </a:graphic>
        </wp:inline>
      </w:drawing>
    </w:r>
    <w:r>
      <w:rPr>
        <w:rFonts w:ascii="Arial" w:cs="Arial" w:eastAsia="Arial" w:hAnsi="Arial"/>
        <w:b w:val="false"/>
        <w:bCs w:val="false"/>
        <w:i w:val="false"/>
        <w:iCs w:val="false"/>
        <w:color w:val="64748B"/>
        <w:sz w:val="18"/>
        <w:szCs w:val="18"/>
      </w:rPr>
      <w:t xml:space="preserve">	ECS Federal  ·  ServiceNow Practice</w:t>
    </w:r>
  </w:p>
  <w:p>
    <w:pPr>
      <w:pBdr>
        <w:bottom w:val="single" w:color="14B8A6" w:sz="6" w:space="1"/>
      </w:pBdr>
      <w:spacing w:after="0" w:before="0"/>
    </w:pPr>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B1F3A"/>
      <w:sz w:val="28"/>
      <w:szCs w:val="28"/>
    </w:rPr>
  </w:style>
  <w:style w:type="paragraph" w:styleId="Heading2">
    <w:name w:val="Heading 2"/>
    <w:basedOn w:val="Normal"/>
    <w:next w:val="Normal"/>
    <w:qFormat/>
    <w:pPr>
      <w:spacing w:after="80" w:before="220"/>
      <w:outlineLvl w:val="1"/>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c1353018b9e8a368208600faec48b10f4ffda2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c1353018b9e8a368208600faec48b10f4ffda27.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2026-05-19T01:21:34.052Z</dcterms:created>
  <dcterms:modified xsi:type="dcterms:W3CDTF">2026-05-19T01:21:34.053Z</dcterms:modified>
</cp:coreProperties>
</file>

<file path=docProps/custom.xml><?xml version="1.0" encoding="utf-8"?>
<Properties xmlns="http://schemas.openxmlformats.org/officeDocument/2006/custom-properties" xmlns:vt="http://schemas.openxmlformats.org/officeDocument/2006/docPropsVTypes"/>
</file>