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drawing>
          <wp:inline distT="0" distB="0" distL="0" distR="0">
            <wp:extent cx="2095500" cy="390525"/>
            <wp:effectExtent t="0" r="0" b="0" l="0"/>
            <wp:docPr id="1" name="Logo" descr="Everforth ECS Federal logo" title="Everforth ECS Fed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390525"/>
                    </a:xfrm>
                    <a:prstGeom prst="rect">
                      <a:avLst/>
                    </a:prstGeom>
                  </pic:spPr>
                </pic:pic>
              </a:graphicData>
            </a:graphic>
          </wp:inline>
        </w:drawing>
      </w:r>
    </w:p>
    <w:p>
      <w:pPr>
        <w:spacing w:after="240" w:before="1800"/>
      </w:pPr>
      <w:r>
        <w:rPr>
          <w:rFonts w:ascii="Calibri" w:cs="Calibri" w:eastAsia="Calibri" w:hAnsi="Calibri"/>
          <w:b/>
          <w:bCs/>
          <w:color w:val="14B8A6"/>
          <w:spacing w:val="80"/>
          <w:sz w:val="18"/>
          <w:szCs w:val="18"/>
        </w:rPr>
        <w:t xml:space="preserve">WHITEPAPER</w:t>
      </w:r>
    </w:p>
    <w:p>
      <w:pPr>
        <w:spacing w:after="120"/>
      </w:pPr>
      <w:r>
        <w:rPr>
          <w:rFonts w:ascii="Calibri" w:cs="Calibri" w:eastAsia="Calibri" w:hAnsi="Calibri"/>
          <w:b/>
          <w:bCs/>
          <w:color w:val="0B1F3A"/>
          <w:sz w:val="56"/>
          <w:szCs w:val="56"/>
        </w:rPr>
        <w:t xml:space="preserve">Onboarding in ServiceNow: HRSD vs. a HAM + Service Catalog Approach</w:t>
      </w:r>
    </w:p>
    <w:p>
      <w:pPr>
        <w:spacing w:after="480"/>
      </w:pPr>
      <w:r>
        <w:rPr>
          <w:rFonts w:ascii="Calibri" w:cs="Calibri" w:eastAsia="Calibri" w:hAnsi="Calibri"/>
          <w:i/>
          <w:iCs/>
          <w:color w:val="0D9488"/>
          <w:sz w:val="28"/>
          <w:szCs w:val="28"/>
        </w:rPr>
        <w:t xml:space="preserve">A capability and value assessment for Connection</w:t>
      </w:r>
    </w:p>
    <w:p>
      <w:pPr>
        <w:pBdr>
          <w:bottom w:val="single" w:color="14B8A6" w:sz="12" w:space="1"/>
        </w:pBdr>
      </w:pPr>
      <w:r>
        <w:t xml:space="preserve"/>
      </w:r>
    </w:p>
    <w:p>
      <w:pPr>
        <w:spacing w:after="60" w:before="200"/>
      </w:pPr>
      <w:r>
        <w:rPr>
          <w:rFonts w:ascii="Calibri" w:cs="Calibri" w:eastAsia="Calibri" w:hAnsi="Calibri"/>
          <w:color w:val="1E293B"/>
          <w:sz w:val="22"/>
          <w:szCs w:val="22"/>
        </w:rPr>
        <w:t xml:space="preserve">Prepared for Connection  ·  IT and Facilities Onboarding Use Case</w:t>
      </w:r>
    </w:p>
    <w:p>
      <w:pPr>
        <w:spacing w:after="60"/>
      </w:pPr>
      <w:r>
        <w:rPr>
          <w:rFonts w:ascii="Calibri" w:cs="Calibri" w:eastAsia="Calibri" w:hAnsi="Calibri"/>
          <w:color w:val="475569"/>
          <w:sz w:val="20"/>
          <w:szCs w:val="20"/>
        </w:rPr>
        <w:t xml:space="preserve">Prepared by ECS Federal  ·  ServiceNow Practice</w:t>
      </w:r>
    </w:p>
    <w:p>
      <w:r>
        <w:rPr>
          <w:rFonts w:ascii="Calibri" w:cs="Calibri" w:eastAsia="Calibri" w:hAnsi="Calibri"/>
          <w:i/>
          <w:iCs/>
          <w:color w:val="475569"/>
          <w:sz w:val="18"/>
          <w:szCs w:val="18"/>
        </w:rPr>
        <w:t xml:space="preserve">Confidential</w:t>
      </w:r>
    </w:p>
    <w:p>
      <w:pPr>
        <w:sectPr>
          <w:pgSz w:w="12240" w:h="15840" w:orient="portrait"/>
          <w:pgMar w:top="1440" w:right="1440" w:bottom="1440" w:left="1440" w:header="708" w:footer="708" w:gutter="0"/>
          <w:pgNumType/>
          <w:titlePg/>
          <w:docGrid w:linePitch="360"/>
        </w:sectPr>
      </w:pPr>
    </w:p>
    <w:p>
      <w:pPr>
        <w:pStyle w:val="Heading1"/>
        <w:spacing w:after="180" w:before="360"/>
      </w:pPr>
      <w:r>
        <w:rPr>
          <w:rFonts w:ascii="Calibri" w:cs="Calibri" w:eastAsia="Calibri" w:hAnsi="Calibri"/>
          <w:b/>
          <w:bCs/>
          <w:color w:val="0B1F3A"/>
          <w:sz w:val="32"/>
          <w:szCs w:val="32"/>
        </w:rPr>
        <w:t xml:space="preserve">Executive Summary</w:t>
      </w:r>
    </w:p>
    <w:p>
      <w:pPr>
        <w:spacing w:after="120"/>
      </w:pPr>
      <w:r>
        <w:rPr>
          <w:rFonts w:ascii="Calibri" w:cs="Calibri" w:eastAsia="Calibri" w:hAnsi="Calibri"/>
          <w:color w:val="1E293B"/>
          <w:sz w:val="22"/>
          <w:szCs w:val="22"/>
        </w:rPr>
        <w:t xml:space="preserve">Connection is evaluating whether to license ServiceNow Human Resources Service Delivery (HRSD) to support employee onboarding. The use case under consideration is narrow: provisioning a new hire's IT footprint (laptop, credentials, accounts, software) and arranging facilities (desk, office space, badge access) by their start date.</w:t>
      </w:r>
    </w:p>
    <w:p>
      <w:pPr>
        <w:spacing w:after="120"/>
      </w:pPr>
      <w:r>
        <w:rPr>
          <w:rFonts w:ascii="Calibri" w:cs="Calibri" w:eastAsia="Calibri" w:hAnsi="Calibri"/>
          <w:color w:val="1E293B"/>
          <w:sz w:val="22"/>
          <w:szCs w:val="22"/>
        </w:rPr>
        <w:t xml:space="preserve">ECS recommends </w:t>
      </w:r>
      <w:r>
        <w:rPr>
          <w:rFonts w:ascii="Calibri" w:cs="Calibri" w:eastAsia="Calibri" w:hAnsi="Calibri"/>
          <w:b/>
          <w:bCs/>
          <w:color w:val="1E293B"/>
          <w:sz w:val="22"/>
          <w:szCs w:val="22"/>
        </w:rPr>
        <w:t xml:space="preserve">not</w:t>
      </w:r>
      <w:r>
        <w:rPr>
          <w:rFonts w:ascii="Calibri" w:cs="Calibri" w:eastAsia="Calibri" w:hAnsi="Calibri"/>
          <w:color w:val="1E293B"/>
          <w:sz w:val="22"/>
          <w:szCs w:val="22"/>
        </w:rPr>
        <w:t xml:space="preserve"> purchasing HRSD for this use case. The narrow scope Connection has described can be delivered cleanly using ServiceNow capabilities Connection already owns or will own as part of Phase 1: </w:t>
      </w:r>
      <w:r>
        <w:rPr>
          <w:rFonts w:ascii="Calibri" w:cs="Calibri" w:eastAsia="Calibri" w:hAnsi="Calibri"/>
          <w:b/>
          <w:bCs/>
          <w:color w:val="1E293B"/>
          <w:sz w:val="22"/>
          <w:szCs w:val="22"/>
        </w:rPr>
        <w:t xml:space="preserve">Hardware Asset Management (HAM)</w:t>
      </w:r>
      <w:r>
        <w:rPr>
          <w:rFonts w:ascii="Calibri" w:cs="Calibri" w:eastAsia="Calibri" w:hAnsi="Calibri"/>
          <w:color w:val="1E293B"/>
          <w:sz w:val="22"/>
          <w:szCs w:val="22"/>
        </w:rPr>
        <w:t xml:space="preserve">, the </w:t>
      </w:r>
      <w:r>
        <w:rPr>
          <w:rFonts w:ascii="Calibri" w:cs="Calibri" w:eastAsia="Calibri" w:hAnsi="Calibri"/>
          <w:b/>
          <w:bCs/>
          <w:color w:val="1E293B"/>
          <w:sz w:val="22"/>
          <w:szCs w:val="22"/>
        </w:rPr>
        <w:t xml:space="preserve">Service Catalog</w:t>
      </w:r>
      <w:r>
        <w:rPr>
          <w:rFonts w:ascii="Calibri" w:cs="Calibri" w:eastAsia="Calibri" w:hAnsi="Calibri"/>
          <w:color w:val="1E293B"/>
          <w:sz w:val="22"/>
          <w:szCs w:val="22"/>
        </w:rPr>
        <w:t xml:space="preserve">, </w:t>
      </w:r>
      <w:r>
        <w:rPr>
          <w:rFonts w:ascii="Calibri" w:cs="Calibri" w:eastAsia="Calibri" w:hAnsi="Calibri"/>
          <w:b/>
          <w:bCs/>
          <w:color w:val="1E293B"/>
          <w:sz w:val="22"/>
          <w:szCs w:val="22"/>
        </w:rPr>
        <w:t xml:space="preserve">Flow Designer / IntegrationHub</w:t>
      </w:r>
      <w:r>
        <w:rPr>
          <w:rFonts w:ascii="Calibri" w:cs="Calibri" w:eastAsia="Calibri" w:hAnsi="Calibri"/>
          <w:color w:val="1E293B"/>
          <w:sz w:val="22"/>
          <w:szCs w:val="22"/>
        </w:rPr>
        <w:t xml:space="preserve">, and </w:t>
      </w:r>
      <w:r>
        <w:rPr>
          <w:rFonts w:ascii="Calibri" w:cs="Calibri" w:eastAsia="Calibri" w:hAnsi="Calibri"/>
          <w:b/>
          <w:bCs/>
          <w:color w:val="1E293B"/>
          <w:sz w:val="22"/>
          <w:szCs w:val="22"/>
        </w:rPr>
        <w:t xml:space="preserve">AD/Entra ID integration</w:t>
      </w:r>
      <w:r>
        <w:rPr>
          <w:rFonts w:ascii="Calibri" w:cs="Calibri" w:eastAsia="Calibri" w:hAnsi="Calibri"/>
          <w:color w:val="1E293B"/>
          <w:sz w:val="22"/>
          <w:szCs w:val="22"/>
        </w:rPr>
        <w:t xml:space="preserve">. This approach delivers the IT and Facilities onboarding outcomes without taking on a full HR-platform commitment, and it keeps the deployment aligned to the OOTB-first principle that anchors the overall reimplementation.</w:t>
      </w:r>
    </w:p>
    <w:p>
      <w:pPr>
        <w:spacing w:after="120"/>
      </w:pPr>
      <w:r>
        <w:rPr>
          <w:rFonts w:ascii="Calibri" w:cs="Calibri" w:eastAsia="Calibri" w:hAnsi="Calibri"/>
          <w:color w:val="1E293B"/>
          <w:sz w:val="22"/>
          <w:szCs w:val="22"/>
        </w:rPr>
        <w:t xml:space="preserve">HRSD is a strong product, but it is purpose-built for </w:t>
      </w:r>
      <w:r>
        <w:rPr>
          <w:rFonts w:ascii="Calibri" w:cs="Calibri" w:eastAsia="Calibri" w:hAnsi="Calibri"/>
          <w:b/>
          <w:bCs/>
          <w:color w:val="1E293B"/>
          <w:sz w:val="22"/>
          <w:szCs w:val="22"/>
        </w:rPr>
        <w:t xml:space="preserve">HR-owned processes</w:t>
      </w:r>
      <w:r>
        <w:rPr>
          <w:rFonts w:ascii="Calibri" w:cs="Calibri" w:eastAsia="Calibri" w:hAnsi="Calibri"/>
          <w:color w:val="1E293B"/>
          <w:sz w:val="22"/>
          <w:szCs w:val="22"/>
        </w:rPr>
        <w:t xml:space="preserve"> — case management, employee documents, lifecycle events, listening posts, and HR-tier service. Those are real capabilities, but they are not part of Connection's stated scope today. This paper lays out the use cases, what HRSD is designed to do, what the recommended HAM + Catalog + Workflow approach delivers, where it stops short, and the triggers that would justify purchasing HRSD in the future.</w:t>
      </w:r>
    </w:p>
    <w:p>
      <w:pPr>
        <w:pStyle w:val="Heading1"/>
        <w:spacing w:after="180" w:before="360"/>
      </w:pPr>
      <w:r>
        <w:rPr>
          <w:rFonts w:ascii="Calibri" w:cs="Calibri" w:eastAsia="Calibri" w:hAnsi="Calibri"/>
          <w:b/>
          <w:bCs/>
          <w:color w:val="0B1F3A"/>
          <w:sz w:val="32"/>
          <w:szCs w:val="32"/>
        </w:rPr>
        <w:t xml:space="preserve">1.  Connection's Stated Onboarding Use Case</w:t>
      </w:r>
    </w:p>
    <w:p>
      <w:pPr>
        <w:spacing w:after="120"/>
      </w:pPr>
      <w:r>
        <w:rPr>
          <w:rFonts w:ascii="Calibri" w:cs="Calibri" w:eastAsia="Calibri" w:hAnsi="Calibri"/>
          <w:color w:val="1E293B"/>
          <w:sz w:val="22"/>
          <w:szCs w:val="22"/>
        </w:rPr>
        <w:t xml:space="preserve">Connection has defined onboarding scope along two dimensions: IT and Facilities. The trigger event in both cases is a new-hire start date.</w:t>
      </w:r>
    </w:p>
    <w:p>
      <w:pPr>
        <w:pStyle w:val="Heading2"/>
        <w:spacing w:after="120" w:before="240"/>
      </w:pPr>
      <w:r>
        <w:rPr>
          <w:rFonts w:ascii="Calibri" w:cs="Calibri" w:eastAsia="Calibri" w:hAnsi="Calibri"/>
          <w:b/>
          <w:bCs/>
          <w:color w:val="0B1F3A"/>
          <w:sz w:val="26"/>
          <w:szCs w:val="26"/>
        </w:rPr>
        <w:t xml:space="preserve">1.1  IT-side onboarding</w:t>
      </w:r>
    </w:p>
    <w:p>
      <w:pPr>
        <w:pStyle w:val="ListParagraph"/>
        <w:numPr>
          <w:ilvl w:val="0"/>
          <w:numId w:val="2"/>
        </w:numPr>
        <w:spacing w:after="60"/>
      </w:pPr>
      <w:r>
        <w:rPr>
          <w:rFonts w:ascii="Calibri" w:cs="Calibri" w:eastAsia="Calibri" w:hAnsi="Calibri"/>
          <w:color w:val="1E293B"/>
          <w:sz w:val="22"/>
          <w:szCs w:val="22"/>
        </w:rPr>
        <w:t xml:space="preserve">Issue and configure a laptop (correct image, encryption, MDM enrollment).</w:t>
      </w:r>
    </w:p>
    <w:p>
      <w:pPr>
        <w:pStyle w:val="ListParagraph"/>
        <w:numPr>
          <w:ilvl w:val="0"/>
          <w:numId w:val="2"/>
        </w:numPr>
        <w:spacing w:after="60"/>
      </w:pPr>
      <w:r>
        <w:rPr>
          <w:rFonts w:ascii="Calibri" w:cs="Calibri" w:eastAsia="Calibri" w:hAnsi="Calibri"/>
          <w:color w:val="1E293B"/>
          <w:sz w:val="22"/>
          <w:szCs w:val="22"/>
        </w:rPr>
        <w:t xml:space="preserve">Provision identity and credentials — Active Directory / Entra ID account, SSO enrollment, MFA setup.</w:t>
      </w:r>
    </w:p>
    <w:p>
      <w:pPr>
        <w:pStyle w:val="ListParagraph"/>
        <w:numPr>
          <w:ilvl w:val="0"/>
          <w:numId w:val="2"/>
        </w:numPr>
        <w:spacing w:after="60"/>
      </w:pPr>
      <w:r>
        <w:rPr>
          <w:rFonts w:ascii="Calibri" w:cs="Calibri" w:eastAsia="Calibri" w:hAnsi="Calibri"/>
          <w:color w:val="1E293B"/>
          <w:sz w:val="22"/>
          <w:szCs w:val="22"/>
        </w:rPr>
        <w:t xml:space="preserve">Grant role-based application access (M365, ServiceNow, business applications).</w:t>
      </w:r>
    </w:p>
    <w:p>
      <w:pPr>
        <w:pStyle w:val="ListParagraph"/>
        <w:numPr>
          <w:ilvl w:val="0"/>
          <w:numId w:val="2"/>
        </w:numPr>
        <w:spacing w:after="60"/>
      </w:pPr>
      <w:r>
        <w:rPr>
          <w:rFonts w:ascii="Calibri" w:cs="Calibri" w:eastAsia="Calibri" w:hAnsi="Calibri"/>
          <w:color w:val="1E293B"/>
          <w:sz w:val="22"/>
          <w:szCs w:val="22"/>
        </w:rPr>
        <w:t xml:space="preserve">Assign software entitlements appropriate to the role and location.</w:t>
      </w:r>
    </w:p>
    <w:p>
      <w:pPr>
        <w:pStyle w:val="ListParagraph"/>
        <w:numPr>
          <w:ilvl w:val="0"/>
          <w:numId w:val="2"/>
        </w:numPr>
        <w:spacing w:after="60"/>
      </w:pPr>
      <w:r>
        <w:rPr>
          <w:rFonts w:ascii="Calibri" w:cs="Calibri" w:eastAsia="Calibri" w:hAnsi="Calibri"/>
          <w:color w:val="1E293B"/>
          <w:sz w:val="22"/>
          <w:szCs w:val="22"/>
        </w:rPr>
        <w:t xml:space="preserve">Communicate Day-1 instructions and login details to the employee.</w:t>
      </w:r>
    </w:p>
    <w:p>
      <w:pPr>
        <w:pStyle w:val="Heading2"/>
        <w:spacing w:after="120" w:before="240"/>
      </w:pPr>
      <w:r>
        <w:rPr>
          <w:rFonts w:ascii="Calibri" w:cs="Calibri" w:eastAsia="Calibri" w:hAnsi="Calibri"/>
          <w:b/>
          <w:bCs/>
          <w:color w:val="0B1F3A"/>
          <w:sz w:val="26"/>
          <w:szCs w:val="26"/>
        </w:rPr>
        <w:t xml:space="preserve">1.2  Facilities-side onboarding</w:t>
      </w:r>
    </w:p>
    <w:p>
      <w:pPr>
        <w:pStyle w:val="ListParagraph"/>
        <w:numPr>
          <w:ilvl w:val="0"/>
          <w:numId w:val="2"/>
        </w:numPr>
        <w:spacing w:after="60"/>
      </w:pPr>
      <w:r>
        <w:rPr>
          <w:rFonts w:ascii="Calibri" w:cs="Calibri" w:eastAsia="Calibri" w:hAnsi="Calibri"/>
          <w:color w:val="1E293B"/>
          <w:sz w:val="22"/>
          <w:szCs w:val="22"/>
        </w:rPr>
        <w:t xml:space="preserve">Assign a desk or office and confirm space readiness.</w:t>
      </w:r>
    </w:p>
    <w:p>
      <w:pPr>
        <w:pStyle w:val="ListParagraph"/>
        <w:numPr>
          <w:ilvl w:val="0"/>
          <w:numId w:val="2"/>
        </w:numPr>
        <w:spacing w:after="60"/>
      </w:pPr>
      <w:r>
        <w:rPr>
          <w:rFonts w:ascii="Calibri" w:cs="Calibri" w:eastAsia="Calibri" w:hAnsi="Calibri"/>
          <w:color w:val="1E293B"/>
          <w:sz w:val="22"/>
          <w:szCs w:val="22"/>
        </w:rPr>
        <w:t xml:space="preserve">Issue building access (badge, parking, reserved-floor permissions).</w:t>
      </w:r>
    </w:p>
    <w:p>
      <w:pPr>
        <w:pStyle w:val="ListParagraph"/>
        <w:numPr>
          <w:ilvl w:val="0"/>
          <w:numId w:val="2"/>
        </w:numPr>
        <w:spacing w:after="60"/>
      </w:pPr>
      <w:r>
        <w:rPr>
          <w:rFonts w:ascii="Calibri" w:cs="Calibri" w:eastAsia="Calibri" w:hAnsi="Calibri"/>
          <w:color w:val="1E293B"/>
          <w:sz w:val="22"/>
          <w:szCs w:val="22"/>
        </w:rPr>
        <w:t xml:space="preserve">Schedule any equipment delivery (monitor, dock, peripherals) tied to the desk assignment.</w:t>
      </w:r>
    </w:p>
    <w:p>
      <w:pPr>
        <w:pStyle w:val="Heading2"/>
        <w:spacing w:after="120" w:before="240"/>
      </w:pPr>
      <w:r>
        <w:rPr>
          <w:rFonts w:ascii="Calibri" w:cs="Calibri" w:eastAsia="Calibri" w:hAnsi="Calibri"/>
          <w:b/>
          <w:bCs/>
          <w:color w:val="0B1F3A"/>
          <w:sz w:val="26"/>
          <w:szCs w:val="26"/>
        </w:rPr>
        <w:t xml:space="preserve">1.3  What is intentionally out of scope (today)</w:t>
      </w:r>
    </w:p>
    <w:p>
      <w:pPr>
        <w:spacing w:after="120"/>
      </w:pPr>
      <w:r>
        <w:rPr>
          <w:rFonts w:ascii="Calibri" w:cs="Calibri" w:eastAsia="Calibri" w:hAnsi="Calibri"/>
          <w:color w:val="1E293B"/>
          <w:sz w:val="22"/>
          <w:szCs w:val="22"/>
        </w:rPr>
        <w:t xml:space="preserve">Connection has not asked ECS to deliver HR-owned activities such as offer letter management, employee document retention, benefits enrollment orchestration, ER cases, performance review workflows, or multi-tier HR service. These are HRSD's home turf, but they are not part of the scope being evaluated here.</w:t>
      </w:r>
    </w:p>
    <w:p>
      <w:pPr>
        <w:pStyle w:val="Heading1"/>
        <w:spacing w:after="180" w:before="360"/>
      </w:pPr>
      <w:r>
        <w:rPr>
          <w:rFonts w:ascii="Calibri" w:cs="Calibri" w:eastAsia="Calibri" w:hAnsi="Calibri"/>
          <w:b/>
          <w:bCs/>
          <w:color w:val="0B1F3A"/>
          <w:sz w:val="32"/>
          <w:szCs w:val="32"/>
        </w:rPr>
        <w:t xml:space="preserve">2.  What ServiceNow HRSD Is Designed For</w:t>
      </w:r>
    </w:p>
    <w:p>
      <w:pPr>
        <w:spacing w:after="120"/>
      </w:pPr>
      <w:r>
        <w:rPr>
          <w:rFonts w:ascii="Calibri" w:cs="Calibri" w:eastAsia="Calibri" w:hAnsi="Calibri"/>
          <w:color w:val="1E293B"/>
          <w:sz w:val="22"/>
          <w:szCs w:val="22"/>
        </w:rPr>
        <w:t xml:space="preserve">HRSD is ServiceNow's HR platform. It is purpose-built to make HR the process owner of the full employee lifecycle — not just a stakeholder in IT-driven onboarding. Understanding its actual scope is the key to deciding whether it is the right purchase.</w:t>
      </w:r>
    </w:p>
    <w:p>
      <w:pPr>
        <w:pStyle w:val="Heading2"/>
        <w:spacing w:after="120" w:before="240"/>
      </w:pPr>
      <w:r>
        <w:rPr>
          <w:rFonts w:ascii="Calibri" w:cs="Calibri" w:eastAsia="Calibri" w:hAnsi="Calibri"/>
          <w:b/>
          <w:bCs/>
          <w:color w:val="0B1F3A"/>
          <w:sz w:val="26"/>
          <w:szCs w:val="26"/>
        </w:rPr>
        <w:t xml:space="preserve">2.1  Core HRSD capabilities</w:t>
      </w:r>
    </w:p>
    <w:p>
      <w:pPr>
        <w:pStyle w:val="ListParagraph"/>
        <w:numPr>
          <w:ilvl w:val="0"/>
          <w:numId w:val="2"/>
        </w:numPr>
        <w:spacing w:after="60"/>
      </w:pPr>
      <w:r>
        <w:rPr>
          <w:rFonts w:ascii="Calibri" w:cs="Calibri" w:eastAsia="Calibri" w:hAnsi="Calibri"/>
          <w:b/>
          <w:bCs/>
          <w:color w:val="1E293B"/>
          <w:sz w:val="22"/>
          <w:szCs w:val="22"/>
        </w:rPr>
        <w:t xml:space="preserve">HR Case Management — </w:t>
      </w:r>
      <w:r>
        <w:rPr>
          <w:rFonts w:ascii="Calibri" w:cs="Calibri" w:eastAsia="Calibri" w:hAnsi="Calibri"/>
          <w:color w:val="1E293B"/>
          <w:sz w:val="22"/>
          <w:szCs w:val="22"/>
        </w:rPr>
        <w:t xml:space="preserve">multi-tier HR cases with confidentiality, retention, and audit trails (suitable for ER, accommodations, harassment, payroll disputes, leave-of-absence requests).</w:t>
      </w:r>
    </w:p>
    <w:p>
      <w:pPr>
        <w:pStyle w:val="ListParagraph"/>
        <w:numPr>
          <w:ilvl w:val="0"/>
          <w:numId w:val="2"/>
        </w:numPr>
        <w:spacing w:after="60"/>
      </w:pPr>
      <w:r>
        <w:rPr>
          <w:rFonts w:ascii="Calibri" w:cs="Calibri" w:eastAsia="Calibri" w:hAnsi="Calibri"/>
          <w:b/>
          <w:bCs/>
          <w:color w:val="1E293B"/>
          <w:sz w:val="22"/>
          <w:szCs w:val="22"/>
        </w:rPr>
        <w:t xml:space="preserve">Employee Document Management — </w:t>
      </w:r>
      <w:r>
        <w:rPr>
          <w:rFonts w:ascii="Calibri" w:cs="Calibri" w:eastAsia="Calibri" w:hAnsi="Calibri"/>
          <w:color w:val="1E293B"/>
          <w:sz w:val="22"/>
          <w:szCs w:val="22"/>
        </w:rPr>
        <w:t xml:space="preserve">native repository for offer letters, I-9s, contracts, benefit elections, with retention policies, expiry, and e-signature.</w:t>
      </w:r>
    </w:p>
    <w:p>
      <w:pPr>
        <w:pStyle w:val="ListParagraph"/>
        <w:numPr>
          <w:ilvl w:val="0"/>
          <w:numId w:val="2"/>
        </w:numPr>
        <w:spacing w:after="60"/>
      </w:pPr>
      <w:r>
        <w:rPr>
          <w:rFonts w:ascii="Calibri" w:cs="Calibri" w:eastAsia="Calibri" w:hAnsi="Calibri"/>
          <w:b/>
          <w:bCs/>
          <w:color w:val="1E293B"/>
          <w:sz w:val="22"/>
          <w:szCs w:val="22"/>
        </w:rPr>
        <w:t xml:space="preserve">Lifecycle Events — </w:t>
      </w:r>
      <w:r>
        <w:rPr>
          <w:rFonts w:ascii="Calibri" w:cs="Calibri" w:eastAsia="Calibri" w:hAnsi="Calibri"/>
          <w:color w:val="1E293B"/>
          <w:sz w:val="22"/>
          <w:szCs w:val="22"/>
        </w:rPr>
        <w:t xml:space="preserve">pre-built templates for onboarding, offboarding, transfers, promotions, leaves of absence, name/address changes, and more.</w:t>
      </w:r>
    </w:p>
    <w:p>
      <w:pPr>
        <w:pStyle w:val="ListParagraph"/>
        <w:numPr>
          <w:ilvl w:val="0"/>
          <w:numId w:val="2"/>
        </w:numPr>
        <w:spacing w:after="60"/>
      </w:pPr>
      <w:r>
        <w:rPr>
          <w:rFonts w:ascii="Calibri" w:cs="Calibri" w:eastAsia="Calibri" w:hAnsi="Calibri"/>
          <w:b/>
          <w:bCs/>
          <w:color w:val="1E293B"/>
          <w:sz w:val="22"/>
          <w:szCs w:val="22"/>
        </w:rPr>
        <w:t xml:space="preserve">Journey Designer — </w:t>
      </w:r>
      <w:r>
        <w:rPr>
          <w:rFonts w:ascii="Calibri" w:cs="Calibri" w:eastAsia="Calibri" w:hAnsi="Calibri"/>
          <w:color w:val="1E293B"/>
          <w:sz w:val="22"/>
          <w:szCs w:val="22"/>
        </w:rPr>
        <w:t xml:space="preserve">structured, persona-aware experiences for the new hire and the hiring manager — pre-boarding, Day 1, 30/60/90, with mobile and Employee Center surfaces.</w:t>
      </w:r>
    </w:p>
    <w:p>
      <w:pPr>
        <w:pStyle w:val="ListParagraph"/>
        <w:numPr>
          <w:ilvl w:val="0"/>
          <w:numId w:val="2"/>
        </w:numPr>
        <w:spacing w:after="60"/>
      </w:pPr>
      <w:r>
        <w:rPr>
          <w:rFonts w:ascii="Calibri" w:cs="Calibri" w:eastAsia="Calibri" w:hAnsi="Calibri"/>
          <w:b/>
          <w:bCs/>
          <w:color w:val="1E293B"/>
          <w:sz w:val="22"/>
          <w:szCs w:val="22"/>
        </w:rPr>
        <w:t xml:space="preserve">HR Service Center — </w:t>
      </w:r>
      <w:r>
        <w:rPr>
          <w:rFonts w:ascii="Calibri" w:cs="Calibri" w:eastAsia="Calibri" w:hAnsi="Calibri"/>
          <w:color w:val="1E293B"/>
          <w:sz w:val="22"/>
          <w:szCs w:val="22"/>
        </w:rPr>
        <w:t xml:space="preserve">dedicated HR portal experience scoped to HR knowledge, HR catalog items, and HR cases (separate from the IT-facing Employee Center).</w:t>
      </w:r>
    </w:p>
    <w:p>
      <w:pPr>
        <w:pStyle w:val="ListParagraph"/>
        <w:numPr>
          <w:ilvl w:val="0"/>
          <w:numId w:val="2"/>
        </w:numPr>
        <w:spacing w:after="60"/>
      </w:pPr>
      <w:r>
        <w:rPr>
          <w:rFonts w:ascii="Calibri" w:cs="Calibri" w:eastAsia="Calibri" w:hAnsi="Calibri"/>
          <w:b/>
          <w:bCs/>
          <w:color w:val="1E293B"/>
          <w:sz w:val="22"/>
          <w:szCs w:val="22"/>
        </w:rPr>
        <w:t xml:space="preserve">Listening Posts and Surveys — </w:t>
      </w:r>
      <w:r>
        <w:rPr>
          <w:rFonts w:ascii="Calibri" w:cs="Calibri" w:eastAsia="Calibri" w:hAnsi="Calibri"/>
          <w:color w:val="1E293B"/>
          <w:sz w:val="22"/>
          <w:szCs w:val="22"/>
        </w:rPr>
        <w:t xml:space="preserve">structured employee feedback at lifecycle moments (e.g., 30-day onboarding pulse).</w:t>
      </w:r>
    </w:p>
    <w:p>
      <w:pPr>
        <w:pStyle w:val="ListParagraph"/>
        <w:numPr>
          <w:ilvl w:val="0"/>
          <w:numId w:val="2"/>
        </w:numPr>
        <w:spacing w:after="60"/>
      </w:pPr>
      <w:r>
        <w:rPr>
          <w:rFonts w:ascii="Calibri" w:cs="Calibri" w:eastAsia="Calibri" w:hAnsi="Calibri"/>
          <w:b/>
          <w:bCs/>
          <w:color w:val="1E293B"/>
          <w:sz w:val="22"/>
          <w:szCs w:val="22"/>
        </w:rPr>
        <w:t xml:space="preserve">Pre-built HRIS integrations — </w:t>
      </w:r>
      <w:r>
        <w:rPr>
          <w:rFonts w:ascii="Calibri" w:cs="Calibri" w:eastAsia="Calibri" w:hAnsi="Calibri"/>
          <w:color w:val="1E293B"/>
          <w:sz w:val="22"/>
          <w:szCs w:val="22"/>
        </w:rPr>
        <w:t xml:space="preserve">two-way employee-record synchronization with Workday, Oracle HCM, SAP SuccessFactors, UKG, and ADP.</w:t>
      </w:r>
    </w:p>
    <w:p>
      <w:pPr>
        <w:pStyle w:val="ListParagraph"/>
        <w:numPr>
          <w:ilvl w:val="0"/>
          <w:numId w:val="2"/>
        </w:numPr>
        <w:spacing w:after="60"/>
      </w:pPr>
      <w:r>
        <w:rPr>
          <w:rFonts w:ascii="Calibri" w:cs="Calibri" w:eastAsia="Calibri" w:hAnsi="Calibri"/>
          <w:b/>
          <w:bCs/>
          <w:color w:val="1E293B"/>
          <w:sz w:val="22"/>
          <w:szCs w:val="22"/>
        </w:rPr>
        <w:t xml:space="preserve">Compliance posture for HR data — </w:t>
      </w:r>
      <w:r>
        <w:rPr>
          <w:rFonts w:ascii="Calibri" w:cs="Calibri" w:eastAsia="Calibri" w:hAnsi="Calibri"/>
          <w:color w:val="1E293B"/>
          <w:sz w:val="22"/>
          <w:szCs w:val="22"/>
        </w:rPr>
        <w:t xml:space="preserve">baseline ACLs, audit, and data-handling design suited to GDPR, HIPAA, and similar regimes for sensitive employee information.</w:t>
      </w:r>
    </w:p>
    <w:p>
      <w:pPr>
        <w:pStyle w:val="Heading2"/>
        <w:spacing w:after="120" w:before="240"/>
      </w:pPr>
      <w:r>
        <w:rPr>
          <w:rFonts w:ascii="Calibri" w:cs="Calibri" w:eastAsia="Calibri" w:hAnsi="Calibri"/>
          <w:b/>
          <w:bCs/>
          <w:color w:val="0B1F3A"/>
          <w:sz w:val="26"/>
          <w:szCs w:val="26"/>
        </w:rPr>
        <w:t xml:space="preserve">2.2  What you are paying for with HRSD</w:t>
      </w:r>
    </w:p>
    <w:p>
      <w:pPr>
        <w:spacing w:after="120"/>
      </w:pPr>
      <w:r>
        <w:rPr>
          <w:rFonts w:ascii="Calibri" w:cs="Calibri" w:eastAsia="Calibri" w:hAnsi="Calibri"/>
          <w:color w:val="1E293B"/>
          <w:sz w:val="22"/>
          <w:szCs w:val="22"/>
        </w:rPr>
        <w:t xml:space="preserve">HRSD is licensed per HR-supported employee. The investment makes sense when HR is the process owner, when there is more than one lifecycle event in scope, when sensitive cases require chain-of-custody, and when the employee experience is expected to be a structured journey rather than a series of catalog requests. For a Connection-style scope (IT + Facilities at hire), most of those capabilities sit unused and represent an over-purchase.</w:t>
      </w:r>
    </w:p>
    <w:p>
      <w:pPr>
        <w:pStyle w:val="Heading1"/>
        <w:spacing w:after="180" w:before="360"/>
      </w:pPr>
      <w:r>
        <w:rPr>
          <w:rFonts w:ascii="Calibri" w:cs="Calibri" w:eastAsia="Calibri" w:hAnsi="Calibri"/>
          <w:b/>
          <w:bCs/>
          <w:color w:val="0B1F3A"/>
          <w:sz w:val="32"/>
          <w:szCs w:val="32"/>
        </w:rPr>
        <w:t xml:space="preserve">3.  Recommended Approach: HAM + Service Catalog + Workflow</w:t>
      </w:r>
    </w:p>
    <w:p>
      <w:pPr>
        <w:spacing w:after="120"/>
      </w:pPr>
      <w:r>
        <w:rPr>
          <w:rFonts w:ascii="Calibri" w:cs="Calibri" w:eastAsia="Calibri" w:hAnsi="Calibri"/>
          <w:color w:val="1E293B"/>
          <w:sz w:val="22"/>
          <w:szCs w:val="22"/>
        </w:rPr>
        <w:t xml:space="preserve">For the use case Connection has described, the same outcomes can be delivered using ServiceNow capabilities already on the Phase 1 roadmap. The architecture is straightforward and the experience for the new hire — and the manager — is clean.</w:t>
      </w:r>
    </w:p>
    <w:p>
      <w:pPr>
        <w:pStyle w:val="Heading2"/>
        <w:spacing w:after="120" w:before="240"/>
      </w:pPr>
      <w:r>
        <w:rPr>
          <w:rFonts w:ascii="Calibri" w:cs="Calibri" w:eastAsia="Calibri" w:hAnsi="Calibri"/>
          <w:b/>
          <w:bCs/>
          <w:color w:val="0B1F3A"/>
          <w:sz w:val="26"/>
          <w:szCs w:val="26"/>
        </w:rPr>
        <w:t xml:space="preserve">3.1  Architecture at a glance</w:t>
      </w:r>
    </w:p>
    <w:p>
      <w:pPr>
        <w:pStyle w:val="ListParagraph"/>
        <w:numPr>
          <w:ilvl w:val="0"/>
          <w:numId w:val="2"/>
        </w:numPr>
        <w:spacing w:after="60"/>
      </w:pPr>
      <w:r>
        <w:rPr>
          <w:rFonts w:ascii="Calibri" w:cs="Calibri" w:eastAsia="Calibri" w:hAnsi="Calibri"/>
          <w:b/>
          <w:bCs/>
          <w:color w:val="1E293B"/>
          <w:sz w:val="22"/>
          <w:szCs w:val="22"/>
        </w:rPr>
        <w:t xml:space="preserve">Service Catalog — </w:t>
      </w:r>
      <w:r>
        <w:rPr>
          <w:rFonts w:ascii="Calibri" w:cs="Calibri" w:eastAsia="Calibri" w:hAnsi="Calibri"/>
          <w:color w:val="1E293B"/>
          <w:sz w:val="22"/>
          <w:szCs w:val="22"/>
        </w:rPr>
        <w:t xml:space="preserve">a single "New Hire Onboarding" record producer captures the new-hire details (name, role, location, start date, hardware preference, software entitlements). Catalog UI Policies make the form dynamic by role and location.</w:t>
      </w:r>
    </w:p>
    <w:p>
      <w:pPr>
        <w:pStyle w:val="ListParagraph"/>
        <w:numPr>
          <w:ilvl w:val="0"/>
          <w:numId w:val="2"/>
        </w:numPr>
        <w:spacing w:after="60"/>
      </w:pPr>
      <w:r>
        <w:rPr>
          <w:rFonts w:ascii="Calibri" w:cs="Calibri" w:eastAsia="Calibri" w:hAnsi="Calibri"/>
          <w:b/>
          <w:bCs/>
          <w:color w:val="1E293B"/>
          <w:sz w:val="22"/>
          <w:szCs w:val="22"/>
        </w:rPr>
        <w:t xml:space="preserve">Catalog Tasks — </w:t>
      </w:r>
      <w:r>
        <w:rPr>
          <w:rFonts w:ascii="Calibri" w:cs="Calibri" w:eastAsia="Calibri" w:hAnsi="Calibri"/>
          <w:color w:val="1E293B"/>
          <w:sz w:val="22"/>
          <w:szCs w:val="22"/>
        </w:rPr>
        <w:t xml:space="preserve">auto-generated and routed to the right teams: IT for laptop and credentials, IAM for accounts and access, Facilities for desk and badge, Service Desk for Day-1 support.</w:t>
      </w:r>
    </w:p>
    <w:p>
      <w:pPr>
        <w:pStyle w:val="ListParagraph"/>
        <w:numPr>
          <w:ilvl w:val="0"/>
          <w:numId w:val="2"/>
        </w:numPr>
        <w:spacing w:after="60"/>
      </w:pPr>
      <w:r>
        <w:rPr>
          <w:rFonts w:ascii="Calibri" w:cs="Calibri" w:eastAsia="Calibri" w:hAnsi="Calibri"/>
          <w:b/>
          <w:bCs/>
          <w:color w:val="1E293B"/>
          <w:sz w:val="22"/>
          <w:szCs w:val="22"/>
        </w:rPr>
        <w:t xml:space="preserve">Hardware Asset Management (HAM) — </w:t>
      </w:r>
      <w:r>
        <w:rPr>
          <w:rFonts w:ascii="Calibri" w:cs="Calibri" w:eastAsia="Calibri" w:hAnsi="Calibri"/>
          <w:color w:val="1E293B"/>
          <w:sz w:val="22"/>
          <w:szCs w:val="22"/>
        </w:rPr>
        <w:t xml:space="preserve">manages the laptop assignment from stockroom to user, including lifecycle records, cost center attribution, and return-on-offboarding.</w:t>
      </w:r>
    </w:p>
    <w:p>
      <w:pPr>
        <w:pStyle w:val="ListParagraph"/>
        <w:numPr>
          <w:ilvl w:val="0"/>
          <w:numId w:val="2"/>
        </w:numPr>
        <w:spacing w:after="60"/>
      </w:pPr>
      <w:r>
        <w:rPr>
          <w:rFonts w:ascii="Calibri" w:cs="Calibri" w:eastAsia="Calibri" w:hAnsi="Calibri"/>
          <w:b/>
          <w:bCs/>
          <w:color w:val="1E293B"/>
          <w:sz w:val="22"/>
          <w:szCs w:val="22"/>
        </w:rPr>
        <w:t xml:space="preserve">Flow Designer — </w:t>
      </w:r>
      <w:r>
        <w:rPr>
          <w:rFonts w:ascii="Calibri" w:cs="Calibri" w:eastAsia="Calibri" w:hAnsi="Calibri"/>
          <w:color w:val="1E293B"/>
          <w:sz w:val="22"/>
          <w:szCs w:val="22"/>
        </w:rPr>
        <w:t xml:space="preserve">orchestrates the multi-team handoff. Trigger fan-out tasks at the right moment, hold downstream tasks until prerequisites are met, escalate if a task slips its SLA.</w:t>
      </w:r>
    </w:p>
    <w:p>
      <w:pPr>
        <w:pStyle w:val="ListParagraph"/>
        <w:numPr>
          <w:ilvl w:val="0"/>
          <w:numId w:val="2"/>
        </w:numPr>
        <w:spacing w:after="60"/>
      </w:pPr>
      <w:r>
        <w:rPr>
          <w:rFonts w:ascii="Calibri" w:cs="Calibri" w:eastAsia="Calibri" w:hAnsi="Calibri"/>
          <w:b/>
          <w:bCs/>
          <w:color w:val="1E293B"/>
          <w:sz w:val="22"/>
          <w:szCs w:val="22"/>
        </w:rPr>
        <w:t xml:space="preserve">IntegrationHub Spokes — </w:t>
      </w:r>
      <w:r>
        <w:rPr>
          <w:rFonts w:ascii="Calibri" w:cs="Calibri" w:eastAsia="Calibri" w:hAnsi="Calibri"/>
          <w:color w:val="1E293B"/>
          <w:sz w:val="22"/>
          <w:szCs w:val="22"/>
        </w:rPr>
        <w:t xml:space="preserve">pre-built actions for Active Directory / Entra ID account creation, group membership, M365 license assignment, password reset, and similar. ECS recommends the standard Microsoft IdM Spoke.</w:t>
      </w:r>
    </w:p>
    <w:p>
      <w:pPr>
        <w:pStyle w:val="ListParagraph"/>
        <w:numPr>
          <w:ilvl w:val="0"/>
          <w:numId w:val="2"/>
        </w:numPr>
        <w:spacing w:after="60"/>
      </w:pPr>
      <w:r>
        <w:rPr>
          <w:rFonts w:ascii="Calibri" w:cs="Calibri" w:eastAsia="Calibri" w:hAnsi="Calibri"/>
          <w:b/>
          <w:bCs/>
          <w:color w:val="1E293B"/>
          <w:sz w:val="22"/>
          <w:szCs w:val="22"/>
        </w:rPr>
        <w:t xml:space="preserve">Employee Center — </w:t>
      </w:r>
      <w:r>
        <w:rPr>
          <w:rFonts w:ascii="Calibri" w:cs="Calibri" w:eastAsia="Calibri" w:hAnsi="Calibri"/>
          <w:color w:val="1E293B"/>
          <w:sz w:val="22"/>
          <w:szCs w:val="22"/>
        </w:rPr>
        <w:t xml:space="preserve">the new hire and the hiring manager track progress on a single page; status, blockers, and outstanding tasks are visible without anyone running a report.</w:t>
      </w:r>
    </w:p>
    <w:p>
      <w:pPr>
        <w:pStyle w:val="ListParagraph"/>
        <w:numPr>
          <w:ilvl w:val="0"/>
          <w:numId w:val="2"/>
        </w:numPr>
        <w:spacing w:after="60"/>
      </w:pPr>
      <w:r>
        <w:rPr>
          <w:rFonts w:ascii="Calibri" w:cs="Calibri" w:eastAsia="Calibri" w:hAnsi="Calibri"/>
          <w:b/>
          <w:bCs/>
          <w:color w:val="1E293B"/>
          <w:sz w:val="22"/>
          <w:szCs w:val="22"/>
        </w:rPr>
        <w:t xml:space="preserve">Performance Analytics — </w:t>
      </w:r>
      <w:r>
        <w:rPr>
          <w:rFonts w:ascii="Calibri" w:cs="Calibri" w:eastAsia="Calibri" w:hAnsi="Calibri"/>
          <w:color w:val="1E293B"/>
          <w:sz w:val="22"/>
          <w:szCs w:val="22"/>
        </w:rPr>
        <w:t xml:space="preserve">tracks onboarding cycle time, on-time-readiness rate, task SLA adherence, and exception trends. Same dashboard pattern used elsewhere in Phase 1.</w:t>
      </w:r>
    </w:p>
    <w:p>
      <w:pPr>
        <w:pStyle w:val="Heading2"/>
        <w:spacing w:after="120" w:before="240"/>
      </w:pPr>
      <w:r>
        <w:rPr>
          <w:rFonts w:ascii="Calibri" w:cs="Calibri" w:eastAsia="Calibri" w:hAnsi="Calibri"/>
          <w:b/>
          <w:bCs/>
          <w:color w:val="0B1F3A"/>
          <w:sz w:val="26"/>
          <w:szCs w:val="26"/>
        </w:rPr>
        <w:t xml:space="preserve">3.2  How each part of the stated use case is delivered</w:t>
      </w:r>
    </w:p>
    <w:p>
      <w:pPr>
        <w:pStyle w:val="ListParagraph"/>
        <w:numPr>
          <w:ilvl w:val="0"/>
          <w:numId w:val="2"/>
        </w:numPr>
        <w:spacing w:after="60"/>
      </w:pPr>
      <w:r>
        <w:rPr>
          <w:rFonts w:ascii="Calibri" w:cs="Calibri" w:eastAsia="Calibri" w:hAnsi="Calibri"/>
          <w:b/>
          <w:bCs/>
          <w:color w:val="1E293B"/>
          <w:sz w:val="22"/>
          <w:szCs w:val="22"/>
        </w:rPr>
        <w:t xml:space="preserve">Laptop, credentials, software access — </w:t>
      </w:r>
      <w:r>
        <w:rPr>
          <w:rFonts w:ascii="Calibri" w:cs="Calibri" w:eastAsia="Calibri" w:hAnsi="Calibri"/>
          <w:color w:val="1E293B"/>
          <w:sz w:val="22"/>
          <w:szCs w:val="22"/>
        </w:rPr>
        <w:t xml:space="preserve">Catalog request triggers HAM provisioning, AD/Entra ID account creation via the Microsoft IdM Spoke, M365/SSO enrollment, and software entitlement assignment based on role mapping.</w:t>
      </w:r>
    </w:p>
    <w:p>
      <w:pPr>
        <w:pStyle w:val="ListParagraph"/>
        <w:numPr>
          <w:ilvl w:val="0"/>
          <w:numId w:val="2"/>
        </w:numPr>
        <w:spacing w:after="60"/>
      </w:pPr>
      <w:r>
        <w:rPr>
          <w:rFonts w:ascii="Calibri" w:cs="Calibri" w:eastAsia="Calibri" w:hAnsi="Calibri"/>
          <w:b/>
          <w:bCs/>
          <w:color w:val="1E293B"/>
          <w:sz w:val="22"/>
          <w:szCs w:val="22"/>
        </w:rPr>
        <w:t xml:space="preserve">Desk, office, badge — </w:t>
      </w:r>
      <w:r>
        <w:rPr>
          <w:rFonts w:ascii="Calibri" w:cs="Calibri" w:eastAsia="Calibri" w:hAnsi="Calibri"/>
          <w:color w:val="1E293B"/>
          <w:sz w:val="22"/>
          <w:szCs w:val="22"/>
        </w:rPr>
        <w:t xml:space="preserve">Catalog Tasks routed to Facilities; Facilities updates the request when the space is ready and the badge is provisioned; Day-1 instructions automatically include the location.</w:t>
      </w:r>
    </w:p>
    <w:p>
      <w:pPr>
        <w:pStyle w:val="ListParagraph"/>
        <w:numPr>
          <w:ilvl w:val="0"/>
          <w:numId w:val="2"/>
        </w:numPr>
        <w:spacing w:after="60"/>
      </w:pPr>
      <w:r>
        <w:rPr>
          <w:rFonts w:ascii="Calibri" w:cs="Calibri" w:eastAsia="Calibri" w:hAnsi="Calibri"/>
          <w:b/>
          <w:bCs/>
          <w:color w:val="1E293B"/>
          <w:sz w:val="22"/>
          <w:szCs w:val="22"/>
        </w:rPr>
        <w:t xml:space="preserve">Day-1 communication — </w:t>
      </w:r>
      <w:r>
        <w:rPr>
          <w:rFonts w:ascii="Calibri" w:cs="Calibri" w:eastAsia="Calibri" w:hAnsi="Calibri"/>
          <w:color w:val="1E293B"/>
          <w:sz w:val="22"/>
          <w:szCs w:val="22"/>
        </w:rPr>
        <w:t xml:space="preserve">an automated welcome email or SMS goes out the day before the start date, including login URL, temporary credentials, desk location, and a Day-1 checklist.</w:t>
      </w:r>
    </w:p>
    <w:p>
      <w:pPr>
        <w:pStyle w:val="ListParagraph"/>
        <w:numPr>
          <w:ilvl w:val="0"/>
          <w:numId w:val="2"/>
        </w:numPr>
        <w:spacing w:after="60"/>
      </w:pPr>
      <w:r>
        <w:rPr>
          <w:rFonts w:ascii="Calibri" w:cs="Calibri" w:eastAsia="Calibri" w:hAnsi="Calibri"/>
          <w:b/>
          <w:bCs/>
          <w:color w:val="1E293B"/>
          <w:sz w:val="22"/>
          <w:szCs w:val="22"/>
        </w:rPr>
        <w:t xml:space="preserve">Visibility for manager and HR — </w:t>
      </w:r>
      <w:r>
        <w:rPr>
          <w:rFonts w:ascii="Calibri" w:cs="Calibri" w:eastAsia="Calibri" w:hAnsi="Calibri"/>
          <w:color w:val="1E293B"/>
          <w:sz w:val="22"/>
          <w:szCs w:val="22"/>
        </w:rPr>
        <w:t xml:space="preserve">the hiring manager and the HR partner are both watchers on the request and see status updates without needing a separate HR portal.</w:t>
      </w:r>
    </w:p>
    <w:p>
      <w:pPr>
        <w:pStyle w:val="Heading2"/>
        <w:spacing w:after="120" w:before="240"/>
      </w:pPr>
      <w:r>
        <w:rPr>
          <w:rFonts w:ascii="Calibri" w:cs="Calibri" w:eastAsia="Calibri" w:hAnsi="Calibri"/>
          <w:b/>
          <w:bCs/>
          <w:color w:val="0B1F3A"/>
          <w:sz w:val="26"/>
          <w:szCs w:val="26"/>
        </w:rPr>
        <w:t xml:space="preserve">3.3  What this approach intentionally does not do</w:t>
      </w:r>
    </w:p>
    <w:p>
      <w:pPr>
        <w:spacing w:after="120"/>
      </w:pPr>
      <w:r>
        <w:rPr>
          <w:rFonts w:ascii="Calibri" w:cs="Calibri" w:eastAsia="Calibri" w:hAnsi="Calibri"/>
          <w:color w:val="1E293B"/>
          <w:sz w:val="22"/>
          <w:szCs w:val="22"/>
        </w:rPr>
        <w:t xml:space="preserve">This is the honest other side of the page — the scope this approach does not cover, with the understanding that none of these are in Connection's stated scope today:</w:t>
      </w:r>
    </w:p>
    <w:p>
      <w:pPr>
        <w:pStyle w:val="ListParagraph"/>
        <w:numPr>
          <w:ilvl w:val="0"/>
          <w:numId w:val="2"/>
        </w:numPr>
        <w:spacing w:after="60"/>
      </w:pPr>
      <w:r>
        <w:rPr>
          <w:rFonts w:ascii="Calibri" w:cs="Calibri" w:eastAsia="Calibri" w:hAnsi="Calibri"/>
          <w:color w:val="1E293B"/>
          <w:sz w:val="22"/>
          <w:szCs w:val="22"/>
        </w:rPr>
        <w:t xml:space="preserve">It is not an HR-owned process. The catalog item is owned by IT, the orchestration is operated by IT, and the data model is centered on the request, not the employee record.</w:t>
      </w:r>
    </w:p>
    <w:p>
      <w:pPr>
        <w:pStyle w:val="ListParagraph"/>
        <w:numPr>
          <w:ilvl w:val="0"/>
          <w:numId w:val="2"/>
        </w:numPr>
        <w:spacing w:after="60"/>
      </w:pPr>
      <w:r>
        <w:rPr>
          <w:rFonts w:ascii="Calibri" w:cs="Calibri" w:eastAsia="Calibri" w:hAnsi="Calibri"/>
          <w:color w:val="1E293B"/>
          <w:sz w:val="22"/>
          <w:szCs w:val="22"/>
        </w:rPr>
        <w:t xml:space="preserve">It does not manage HR cases (ER, accommodations, payroll disputes). For those, the right answer is HRSD.</w:t>
      </w:r>
    </w:p>
    <w:p>
      <w:pPr>
        <w:pStyle w:val="ListParagraph"/>
        <w:numPr>
          <w:ilvl w:val="0"/>
          <w:numId w:val="2"/>
        </w:numPr>
        <w:spacing w:after="60"/>
      </w:pPr>
      <w:r>
        <w:rPr>
          <w:rFonts w:ascii="Calibri" w:cs="Calibri" w:eastAsia="Calibri" w:hAnsi="Calibri"/>
          <w:color w:val="1E293B"/>
          <w:sz w:val="22"/>
          <w:szCs w:val="22"/>
        </w:rPr>
        <w:t xml:space="preserve">It does not store employee documents (offer letters, I-9s, benefits). Those would continue to live in Connection's HRIS or document system.</w:t>
      </w:r>
    </w:p>
    <w:p>
      <w:pPr>
        <w:pStyle w:val="ListParagraph"/>
        <w:numPr>
          <w:ilvl w:val="0"/>
          <w:numId w:val="2"/>
        </w:numPr>
        <w:spacing w:after="60"/>
      </w:pPr>
      <w:r>
        <w:rPr>
          <w:rFonts w:ascii="Calibri" w:cs="Calibri" w:eastAsia="Calibri" w:hAnsi="Calibri"/>
          <w:color w:val="1E293B"/>
          <w:sz w:val="22"/>
          <w:szCs w:val="22"/>
        </w:rPr>
        <w:t xml:space="preserve">It is not pre-built to handle other lifecycle events (transfers, promotions, offboarding, leaves). Each could be modeled with additional catalog items and workflows, but at a certain point of scope expansion, building lifecycle-by-lifecycle becomes more expensive than buying HRSD.</w:t>
      </w:r>
    </w:p>
    <w:p>
      <w:pPr>
        <w:pStyle w:val="ListParagraph"/>
        <w:numPr>
          <w:ilvl w:val="0"/>
          <w:numId w:val="2"/>
        </w:numPr>
        <w:spacing w:after="60"/>
      </w:pPr>
      <w:r>
        <w:rPr>
          <w:rFonts w:ascii="Calibri" w:cs="Calibri" w:eastAsia="Calibri" w:hAnsi="Calibri"/>
          <w:color w:val="1E293B"/>
          <w:sz w:val="22"/>
          <w:szCs w:val="22"/>
        </w:rPr>
        <w:t xml:space="preserve">It does not provide a structured employee onboarding "journey" with pre-boarding milestones, 30/60/90 check-ins, and listening posts. The Employee Center status view is functional but not a true journey experience.</w:t>
      </w:r>
    </w:p>
    <w:p>
      <w:pPr>
        <w:pStyle w:val="Heading1"/>
        <w:spacing w:after="180" w:before="360"/>
      </w:pPr>
      <w:r>
        <w:rPr>
          <w:rFonts w:ascii="Calibri" w:cs="Calibri" w:eastAsia="Calibri" w:hAnsi="Calibri"/>
          <w:b/>
          <w:bCs/>
          <w:color w:val="0B1F3A"/>
          <w:sz w:val="32"/>
          <w:szCs w:val="32"/>
        </w:rPr>
        <w:t xml:space="preserve">4.  Capability Comparison</w:t>
      </w:r>
    </w:p>
    <w:p>
      <w:pPr>
        <w:spacing w:after="120"/>
      </w:pPr>
      <w:r>
        <w:rPr>
          <w:rFonts w:ascii="Calibri" w:cs="Calibri" w:eastAsia="Calibri" w:hAnsi="Calibri"/>
          <w:color w:val="1E293B"/>
          <w:sz w:val="22"/>
          <w:szCs w:val="22"/>
        </w:rPr>
        <w:t xml:space="preserve">The table below maps Connection's onboarding capability needs against the two approaches. Where the recommended approach falls short, the gap is real and acknowledged — and is generally a function of the use case, not a defect of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Capability</w:t>
            </w:r>
          </w:p>
        </w:tc>
        <w:tc>
          <w:tcPr>
            <w:tcW w:type="dxa" w:w="3120"/>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HAM + Catalog + Workflow</w:t>
            </w:r>
          </w:p>
        </w:tc>
        <w:tc>
          <w:tcPr>
            <w:tcW w:type="dxa" w:w="3120"/>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ServiceNow HRSD</w:t>
            </w:r>
          </w:p>
        </w:tc>
      </w:tr>
      <w:tr>
        <w:tc>
          <w:tcPr>
            <w:tcW w:type="dxa" w:w="312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color w:val="1E293B"/>
                <w:sz w:val="20"/>
                <w:szCs w:val="20"/>
              </w:rPr>
              <w:t xml:space="preserve">Provision laptop, credentials, accounts on hire date</w:t>
            </w:r>
          </w:p>
        </w:tc>
        <w:tc>
          <w:tcPr>
            <w:tcW w:type="dxa" w:w="312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color w:val="1E293B"/>
                <w:sz w:val="20"/>
                <w:szCs w:val="20"/>
              </w:rPr>
              <w:t xml:space="preserve">Yes — native fit</w:t>
            </w:r>
          </w:p>
        </w:tc>
        <w:tc>
          <w:tcPr>
            <w:tcW w:type="dxa" w:w="312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color w:val="1E293B"/>
                <w:sz w:val="20"/>
                <w:szCs w:val="20"/>
              </w:rPr>
              <w:t xml:space="preserve">Yes (orchestrated through fulfillment plugins or external workflows)</w:t>
            </w:r>
          </w:p>
        </w:tc>
      </w:tr>
      <w:tr>
        <w:tc>
          <w:tcPr>
            <w:tcW w:type="dxa" w:w="3120"/>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color w:val="1E293B"/>
                <w:sz w:val="20"/>
                <w:szCs w:val="20"/>
              </w:rPr>
              <w:t xml:space="preserve">Assign desk / office space / badge</w:t>
            </w:r>
          </w:p>
        </w:tc>
        <w:tc>
          <w:tcPr>
            <w:tcW w:type="dxa" w:w="3120"/>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color w:val="1E293B"/>
                <w:sz w:val="20"/>
                <w:szCs w:val="20"/>
              </w:rPr>
              <w:t xml:space="preserve">Yes — Service Catalog item with task routing</w:t>
            </w:r>
          </w:p>
        </w:tc>
        <w:tc>
          <w:tcPr>
            <w:tcW w:type="dxa" w:w="3120"/>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color w:val="1E293B"/>
                <w:sz w:val="20"/>
                <w:szCs w:val="20"/>
              </w:rPr>
              <w:t xml:space="preserve">Yes — modeled as part of an Onboarding Journey</w:t>
            </w:r>
          </w:p>
        </w:tc>
      </w:tr>
      <w:tr>
        <w:tc>
          <w:tcPr>
            <w:tcW w:type="dxa" w:w="312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color w:val="1E293B"/>
                <w:sz w:val="20"/>
                <w:szCs w:val="20"/>
              </w:rPr>
              <w:t xml:space="preserve">Multi-team handoff orchestration (IT → Facilities → IAM)</w:t>
            </w:r>
          </w:p>
        </w:tc>
        <w:tc>
          <w:tcPr>
            <w:tcW w:type="dxa" w:w="312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color w:val="1E293B"/>
                <w:sz w:val="20"/>
                <w:szCs w:val="20"/>
              </w:rPr>
              <w:t xml:space="preserve">Yes — Flow Designer + Catalog Tasks</w:t>
            </w:r>
          </w:p>
        </w:tc>
        <w:tc>
          <w:tcPr>
            <w:tcW w:type="dxa" w:w="312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color w:val="1E293B"/>
                <w:sz w:val="20"/>
                <w:szCs w:val="20"/>
              </w:rPr>
              <w:t xml:space="preserve">Yes — Lifecycle Events and Journey Designer</w:t>
            </w:r>
          </w:p>
        </w:tc>
      </w:tr>
      <w:tr>
        <w:tc>
          <w:tcPr>
            <w:tcW w:type="dxa" w:w="3120"/>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color w:val="1E293B"/>
                <w:sz w:val="20"/>
                <w:szCs w:val="20"/>
              </w:rPr>
              <w:t xml:space="preserve">Manager / employee structured onboarding journey</w:t>
            </w:r>
          </w:p>
        </w:tc>
        <w:tc>
          <w:tcPr>
            <w:tcW w:type="dxa" w:w="3120"/>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color w:val="1E293B"/>
                <w:sz w:val="20"/>
                <w:szCs w:val="20"/>
              </w:rPr>
              <w:t xml:space="preserve">Limited — status views and email; no structured journey</w:t>
            </w:r>
          </w:p>
        </w:tc>
        <w:tc>
          <w:tcPr>
            <w:tcW w:type="dxa" w:w="3120"/>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color w:val="1E293B"/>
                <w:sz w:val="20"/>
                <w:szCs w:val="20"/>
              </w:rPr>
              <w:t xml:space="preserve">Yes — Journey Designer with manager + employee tasks, mobile experience</w:t>
            </w:r>
          </w:p>
        </w:tc>
      </w:tr>
      <w:tr>
        <w:tc>
          <w:tcPr>
            <w:tcW w:type="dxa" w:w="312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color w:val="1E293B"/>
                <w:sz w:val="20"/>
                <w:szCs w:val="20"/>
              </w:rPr>
              <w:t xml:space="preserve">HR case management (sensitive cases, ER, accommodations)</w:t>
            </w:r>
          </w:p>
        </w:tc>
        <w:tc>
          <w:tcPr>
            <w:tcW w:type="dxa" w:w="312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color w:val="1E293B"/>
                <w:sz w:val="20"/>
                <w:szCs w:val="20"/>
              </w:rPr>
              <w:t xml:space="preserve">No</w:t>
            </w:r>
          </w:p>
        </w:tc>
        <w:tc>
          <w:tcPr>
            <w:tcW w:type="dxa" w:w="312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color w:val="1E293B"/>
                <w:sz w:val="20"/>
                <w:szCs w:val="20"/>
              </w:rPr>
              <w:t xml:space="preserve">Yes — HR Case Management with confidentiality and retention</w:t>
            </w:r>
          </w:p>
        </w:tc>
      </w:tr>
      <w:tr>
        <w:tc>
          <w:tcPr>
            <w:tcW w:type="dxa" w:w="3120"/>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color w:val="1E293B"/>
                <w:sz w:val="20"/>
                <w:szCs w:val="20"/>
              </w:rPr>
              <w:t xml:space="preserve">Employee document management with retention &amp; e-signature</w:t>
            </w:r>
          </w:p>
        </w:tc>
        <w:tc>
          <w:tcPr>
            <w:tcW w:type="dxa" w:w="3120"/>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color w:val="1E293B"/>
                <w:sz w:val="20"/>
                <w:szCs w:val="20"/>
              </w:rPr>
              <w:t xml:space="preserve">No</w:t>
            </w:r>
          </w:p>
        </w:tc>
        <w:tc>
          <w:tcPr>
            <w:tcW w:type="dxa" w:w="3120"/>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color w:val="1E293B"/>
                <w:sz w:val="20"/>
                <w:szCs w:val="20"/>
              </w:rPr>
              <w:t xml:space="preserve">Yes — native Document Management with retention policies</w:t>
            </w:r>
          </w:p>
        </w:tc>
      </w:tr>
      <w:tr>
        <w:tc>
          <w:tcPr>
            <w:tcW w:type="dxa" w:w="312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color w:val="1E293B"/>
                <w:sz w:val="20"/>
                <w:szCs w:val="20"/>
              </w:rPr>
              <w:t xml:space="preserve">Lifecycle events: transfers, promotions, offboarding, leaves</w:t>
            </w:r>
          </w:p>
        </w:tc>
        <w:tc>
          <w:tcPr>
            <w:tcW w:type="dxa" w:w="312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color w:val="1E293B"/>
                <w:sz w:val="20"/>
                <w:szCs w:val="20"/>
              </w:rPr>
              <w:t xml:space="preserve">Partial — would need to be re-built per event</w:t>
            </w:r>
          </w:p>
        </w:tc>
        <w:tc>
          <w:tcPr>
            <w:tcW w:type="dxa" w:w="312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color w:val="1E293B"/>
                <w:sz w:val="20"/>
                <w:szCs w:val="20"/>
              </w:rPr>
              <w:t xml:space="preserve">Yes — pre-built lifecycle event templates</w:t>
            </w:r>
          </w:p>
        </w:tc>
      </w:tr>
      <w:tr>
        <w:tc>
          <w:tcPr>
            <w:tcW w:type="dxa" w:w="3120"/>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color w:val="1E293B"/>
                <w:sz w:val="20"/>
                <w:szCs w:val="20"/>
              </w:rPr>
              <w:t xml:space="preserve">Bi-directional integration to Workday / HCM</w:t>
            </w:r>
          </w:p>
        </w:tc>
        <w:tc>
          <w:tcPr>
            <w:tcW w:type="dxa" w:w="3120"/>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color w:val="1E293B"/>
                <w:sz w:val="20"/>
                <w:szCs w:val="20"/>
              </w:rPr>
              <w:t xml:space="preserve">Possible via IntegrationHub Spoke (custom build)</w:t>
            </w:r>
          </w:p>
        </w:tc>
        <w:tc>
          <w:tcPr>
            <w:tcW w:type="dxa" w:w="3120"/>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color w:val="1E293B"/>
                <w:sz w:val="20"/>
                <w:szCs w:val="20"/>
              </w:rPr>
              <w:t xml:space="preserve">Yes — pre-built HRIS integrations and employee record sync</w:t>
            </w:r>
          </w:p>
        </w:tc>
      </w:tr>
      <w:tr>
        <w:tc>
          <w:tcPr>
            <w:tcW w:type="dxa" w:w="312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color w:val="1E293B"/>
                <w:sz w:val="20"/>
                <w:szCs w:val="20"/>
              </w:rPr>
              <w:t xml:space="preserve">Multi-tier HR support model (Tier 0 self-service → Tier 3)</w:t>
            </w:r>
          </w:p>
        </w:tc>
        <w:tc>
          <w:tcPr>
            <w:tcW w:type="dxa" w:w="312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color w:val="1E293B"/>
                <w:sz w:val="20"/>
                <w:szCs w:val="20"/>
              </w:rPr>
              <w:t xml:space="preserve">No</w:t>
            </w:r>
          </w:p>
        </w:tc>
        <w:tc>
          <w:tcPr>
            <w:tcW w:type="dxa" w:w="312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color w:val="1E293B"/>
                <w:sz w:val="20"/>
                <w:szCs w:val="20"/>
              </w:rPr>
              <w:t xml:space="preserve">Yes — HR Service Center with role-based portals</w:t>
            </w:r>
          </w:p>
        </w:tc>
      </w:tr>
      <w:tr>
        <w:tc>
          <w:tcPr>
            <w:tcW w:type="dxa" w:w="3120"/>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color w:val="1E293B"/>
                <w:sz w:val="20"/>
                <w:szCs w:val="20"/>
              </w:rPr>
              <w:t xml:space="preserve">Compliance posture for sensitive employee data</w:t>
            </w:r>
          </w:p>
        </w:tc>
        <w:tc>
          <w:tcPr>
            <w:tcW w:type="dxa" w:w="3120"/>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color w:val="1E293B"/>
                <w:sz w:val="20"/>
                <w:szCs w:val="20"/>
              </w:rPr>
              <w:t xml:space="preserve">Limited — would require manual ACL design</w:t>
            </w:r>
          </w:p>
        </w:tc>
        <w:tc>
          <w:tcPr>
            <w:tcW w:type="dxa" w:w="3120"/>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color w:val="1E293B"/>
                <w:sz w:val="20"/>
                <w:szCs w:val="20"/>
              </w:rPr>
              <w:t xml:space="preserve">Yes — designed for HR data privacy from day one</w:t>
            </w:r>
          </w:p>
        </w:tc>
      </w:tr>
      <w:tr>
        <w:tc>
          <w:tcPr>
            <w:tcW w:type="dxa" w:w="312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color w:val="1E293B"/>
                <w:sz w:val="20"/>
                <w:szCs w:val="20"/>
              </w:rPr>
              <w:t xml:space="preserve">Total platform cost impact</w:t>
            </w:r>
          </w:p>
        </w:tc>
        <w:tc>
          <w:tcPr>
            <w:tcW w:type="dxa" w:w="312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color w:val="1E293B"/>
                <w:sz w:val="20"/>
                <w:szCs w:val="20"/>
              </w:rPr>
              <w:t xml:space="preserve">Reuses existing licenses (HAM, ITSM, Now Platform)</w:t>
            </w:r>
          </w:p>
        </w:tc>
        <w:tc>
          <w:tcPr>
            <w:tcW w:type="dxa" w:w="312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color w:val="1E293B"/>
                <w:sz w:val="20"/>
                <w:szCs w:val="20"/>
              </w:rPr>
              <w:t xml:space="preserve">Additional HRSD subscription per HR-supported employee</w:t>
            </w:r>
          </w:p>
        </w:tc>
      </w:tr>
    </w:tbl>
    <w:p>
      <w:pPr>
        <w:pStyle w:val="Heading1"/>
        <w:spacing w:after="180" w:before="360"/>
      </w:pPr>
      <w:r>
        <w:rPr>
          <w:rFonts w:ascii="Calibri" w:cs="Calibri" w:eastAsia="Calibri" w:hAnsi="Calibri"/>
          <w:b/>
          <w:bCs/>
          <w:color w:val="0B1F3A"/>
          <w:sz w:val="32"/>
          <w:szCs w:val="32"/>
        </w:rPr>
        <w:t xml:space="preserve">5.  When HRSD Becomes the Right Purchase</w:t>
      </w:r>
    </w:p>
    <w:p>
      <w:pPr>
        <w:spacing w:after="120"/>
      </w:pPr>
      <w:r>
        <w:rPr>
          <w:rFonts w:ascii="Calibri" w:cs="Calibri" w:eastAsia="Calibri" w:hAnsi="Calibri"/>
          <w:color w:val="1E293B"/>
          <w:sz w:val="22"/>
          <w:szCs w:val="22"/>
        </w:rPr>
        <w:t xml:space="preserve">HRSD becomes the right call when one or more of the following triggers is met. ECS recommends Connection revisit the question on an annual cycle, or sooner if any of these become true.</w:t>
      </w:r>
    </w:p>
    <w:p>
      <w:pPr>
        <w:pStyle w:val="Heading2"/>
        <w:spacing w:after="120" w:before="240"/>
      </w:pPr>
      <w:r>
        <w:rPr>
          <w:rFonts w:ascii="Calibri" w:cs="Calibri" w:eastAsia="Calibri" w:hAnsi="Calibri"/>
          <w:b/>
          <w:bCs/>
          <w:color w:val="0B1F3A"/>
          <w:sz w:val="26"/>
          <w:szCs w:val="26"/>
        </w:rPr>
        <w:t xml:space="preserve">5.1  Process ownership trigger</w:t>
      </w:r>
    </w:p>
    <w:p>
      <w:pPr>
        <w:spacing w:after="120"/>
      </w:pPr>
      <w:r>
        <w:rPr>
          <w:rFonts w:ascii="Calibri" w:cs="Calibri" w:eastAsia="Calibri" w:hAnsi="Calibri"/>
          <w:color w:val="1E293B"/>
          <w:sz w:val="22"/>
          <w:szCs w:val="22"/>
        </w:rPr>
        <w:t xml:space="preserve">If HR (rather than IT) becomes the process owner of onboarding — meaning HR is responsible for designing, operating, and governing the experience — HRSD is the right platform. The data model, role-based interfaces, and HR-specific compliance posture pay for themselves once HR is in the driver's seat.</w:t>
      </w:r>
    </w:p>
    <w:p>
      <w:pPr>
        <w:pStyle w:val="Heading2"/>
        <w:spacing w:after="120" w:before="240"/>
      </w:pPr>
      <w:r>
        <w:rPr>
          <w:rFonts w:ascii="Calibri" w:cs="Calibri" w:eastAsia="Calibri" w:hAnsi="Calibri"/>
          <w:b/>
          <w:bCs/>
          <w:color w:val="0B1F3A"/>
          <w:sz w:val="26"/>
          <w:szCs w:val="26"/>
        </w:rPr>
        <w:t xml:space="preserve">5.2  Scope expansion trigger</w:t>
      </w:r>
    </w:p>
    <w:p>
      <w:pPr>
        <w:spacing w:after="120"/>
      </w:pPr>
      <w:r>
        <w:rPr>
          <w:rFonts w:ascii="Calibri" w:cs="Calibri" w:eastAsia="Calibri" w:hAnsi="Calibri"/>
          <w:color w:val="1E293B"/>
          <w:sz w:val="22"/>
          <w:szCs w:val="22"/>
        </w:rPr>
        <w:t xml:space="preserve">If Connection's scope expands beyond hire-day onboarding to include transfers, promotions, offboarding, leaves of absence, accommodations, or other lifecycle events, the cost of building each one in catalog/workflow exceeds the cost of HRSD's pre-built lifecycle templates.</w:t>
      </w:r>
    </w:p>
    <w:p>
      <w:pPr>
        <w:pStyle w:val="Heading2"/>
        <w:spacing w:after="120" w:before="240"/>
      </w:pPr>
      <w:r>
        <w:rPr>
          <w:rFonts w:ascii="Calibri" w:cs="Calibri" w:eastAsia="Calibri" w:hAnsi="Calibri"/>
          <w:b/>
          <w:bCs/>
          <w:color w:val="0B1F3A"/>
          <w:sz w:val="26"/>
          <w:szCs w:val="26"/>
        </w:rPr>
        <w:t xml:space="preserve">5.3  Compliance and case management trigger</w:t>
      </w:r>
    </w:p>
    <w:p>
      <w:pPr>
        <w:spacing w:after="120"/>
      </w:pPr>
      <w:r>
        <w:rPr>
          <w:rFonts w:ascii="Calibri" w:cs="Calibri" w:eastAsia="Calibri" w:hAnsi="Calibri"/>
          <w:color w:val="1E293B"/>
          <w:sz w:val="22"/>
          <w:szCs w:val="22"/>
        </w:rPr>
        <w:t xml:space="preserve">If Connection needs to manage sensitive HR cases (ER, harassment investigations, accommodations) with documented chain-of-custody, retention policies, and confidentiality controls, this is a use case HRSD is purpose-built for and the recommended approach is not.</w:t>
      </w:r>
    </w:p>
    <w:p>
      <w:pPr>
        <w:pStyle w:val="Heading2"/>
        <w:spacing w:after="120" w:before="240"/>
      </w:pPr>
      <w:r>
        <w:rPr>
          <w:rFonts w:ascii="Calibri" w:cs="Calibri" w:eastAsia="Calibri" w:hAnsi="Calibri"/>
          <w:b/>
          <w:bCs/>
          <w:color w:val="0B1F3A"/>
          <w:sz w:val="26"/>
          <w:szCs w:val="26"/>
        </w:rPr>
        <w:t xml:space="preserve">5.4  Document management trigger</w:t>
      </w:r>
    </w:p>
    <w:p>
      <w:pPr>
        <w:spacing w:after="120"/>
      </w:pPr>
      <w:r>
        <w:rPr>
          <w:rFonts w:ascii="Calibri" w:cs="Calibri" w:eastAsia="Calibri" w:hAnsi="Calibri"/>
          <w:color w:val="1E293B"/>
          <w:sz w:val="22"/>
          <w:szCs w:val="22"/>
        </w:rPr>
        <w:t xml:space="preserve">If Connection wants employee documents — offer letters, I-9s, signed acknowledgements, benefits paperwork — to live in ServiceNow with retention and e-signature, HRSD is the path. Document storage is not a fit for the recommended approach.</w:t>
      </w:r>
    </w:p>
    <w:p>
      <w:pPr>
        <w:pStyle w:val="Heading2"/>
        <w:spacing w:after="120" w:before="240"/>
      </w:pPr>
      <w:r>
        <w:rPr>
          <w:rFonts w:ascii="Calibri" w:cs="Calibri" w:eastAsia="Calibri" w:hAnsi="Calibri"/>
          <w:b/>
          <w:bCs/>
          <w:color w:val="0B1F3A"/>
          <w:sz w:val="26"/>
          <w:szCs w:val="26"/>
        </w:rPr>
        <w:t xml:space="preserve">5.5  HRIS integration trigger</w:t>
      </w:r>
    </w:p>
    <w:p>
      <w:pPr>
        <w:spacing w:after="120"/>
      </w:pPr>
      <w:r>
        <w:rPr>
          <w:rFonts w:ascii="Calibri" w:cs="Calibri" w:eastAsia="Calibri" w:hAnsi="Calibri"/>
          <w:color w:val="1E293B"/>
          <w:sz w:val="22"/>
          <w:szCs w:val="22"/>
        </w:rPr>
        <w:t xml:space="preserve">If Connection needs two-way, real-time synchronization with Workday or another HCM system at scale (employee records, position management, organizational hierarchy), HRSD's pre-built integrations meaningfully reduce build cost and ongoing maintenance compared to a bespoke IntegrationHub build.</w:t>
      </w:r>
    </w:p>
    <w:p>
      <w:pPr>
        <w:pStyle w:val="Heading2"/>
        <w:spacing w:after="120" w:before="240"/>
      </w:pPr>
      <w:r>
        <w:rPr>
          <w:rFonts w:ascii="Calibri" w:cs="Calibri" w:eastAsia="Calibri" w:hAnsi="Calibri"/>
          <w:b/>
          <w:bCs/>
          <w:color w:val="0B1F3A"/>
          <w:sz w:val="26"/>
          <w:szCs w:val="26"/>
        </w:rPr>
        <w:t xml:space="preserve">5.6  Employee experience trigger</w:t>
      </w:r>
    </w:p>
    <w:p>
      <w:pPr>
        <w:spacing w:after="120"/>
      </w:pPr>
      <w:r>
        <w:rPr>
          <w:rFonts w:ascii="Calibri" w:cs="Calibri" w:eastAsia="Calibri" w:hAnsi="Calibri"/>
          <w:color w:val="1E293B"/>
          <w:sz w:val="22"/>
          <w:szCs w:val="22"/>
        </w:rPr>
        <w:t xml:space="preserve">If Connection's HR strategy includes a structured onboarding journey, listening posts, persona-aware mobile experiences, and an HR-branded Employee Service Center, those capabilities are HRSD-native and are not delivered by the recommended approach.</w:t>
      </w:r>
    </w:p>
    <w:p>
      <w:pPr>
        <w:pStyle w:val="Heading1"/>
        <w:spacing w:after="180" w:before="360"/>
      </w:pPr>
      <w:r>
        <w:rPr>
          <w:rFonts w:ascii="Calibri" w:cs="Calibri" w:eastAsia="Calibri" w:hAnsi="Calibri"/>
          <w:b/>
          <w:bCs/>
          <w:color w:val="0B1F3A"/>
          <w:sz w:val="32"/>
          <w:szCs w:val="32"/>
        </w:rPr>
        <w:t xml:space="preserve">6.  Recommendation</w:t>
      </w:r>
    </w:p>
    <w:p>
      <w:pPr>
        <w:spacing w:after="120"/>
      </w:pPr>
      <w:r>
        <w:rPr>
          <w:rFonts w:ascii="Calibri" w:cs="Calibri" w:eastAsia="Calibri" w:hAnsi="Calibri"/>
          <w:color w:val="1E293B"/>
          <w:sz w:val="22"/>
          <w:szCs w:val="22"/>
        </w:rPr>
        <w:t xml:space="preserve">For the IT and Facilities onboarding use case Connection has described today, </w:t>
      </w:r>
      <w:r>
        <w:rPr>
          <w:rFonts w:ascii="Calibri" w:cs="Calibri" w:eastAsia="Calibri" w:hAnsi="Calibri"/>
          <w:b/>
          <w:bCs/>
          <w:color w:val="1E293B"/>
          <w:sz w:val="22"/>
          <w:szCs w:val="22"/>
        </w:rPr>
        <w:t xml:space="preserve">ECS recommends the HAM + Service Catalog + Workflow approach</w:t>
      </w:r>
      <w:r>
        <w:rPr>
          <w:rFonts w:ascii="Calibri" w:cs="Calibri" w:eastAsia="Calibri" w:hAnsi="Calibri"/>
          <w:color w:val="1E293B"/>
          <w:sz w:val="22"/>
          <w:szCs w:val="22"/>
        </w:rPr>
        <w:t xml:space="preserve">. It uses capabilities Connection already has or is acquiring as part of Phase 1, it can go live alongside the broader reimplementation without additional licensing, and it keeps the deployment aligned to the OOTB-first principle.</w:t>
      </w:r>
    </w:p>
    <w:p>
      <w:pPr>
        <w:spacing w:after="120"/>
      </w:pPr>
      <w:r>
        <w:rPr>
          <w:rFonts w:ascii="Calibri" w:cs="Calibri" w:eastAsia="Calibri" w:hAnsi="Calibri"/>
          <w:color w:val="1E293B"/>
          <w:sz w:val="22"/>
          <w:szCs w:val="22"/>
        </w:rPr>
        <w:t xml:space="preserve">ECS recommends Connection revisit the HRSD question on an annual basis, or sooner if any of the triggers in Section 5 become true. When HR ownership, lifecycle scope, compliance posture, or HCM integration cross the threshold, HRSD is a clean, purpose-built answer — and the architecture built in Phase 1 (Service Catalog, HAM, Flow Designer) coexists with HRSD rather than being replaced by it.</w:t>
      </w:r>
    </w:p>
    <w:p>
      <w:pPr>
        <w:spacing w:after="120"/>
      </w:pPr>
      <w:r>
        <w:rPr>
          <w:rFonts w:ascii="Calibri" w:cs="Calibri" w:eastAsia="Calibri" w:hAnsi="Calibri"/>
          <w:i/>
          <w:iCs/>
          <w:color w:val="1E293B"/>
          <w:sz w:val="22"/>
          <w:szCs w:val="22"/>
        </w:rPr>
        <w:t xml:space="preserve">In short: </w:t>
      </w:r>
      <w:r>
        <w:rPr>
          <w:rFonts w:ascii="Calibri" w:cs="Calibri" w:eastAsia="Calibri" w:hAnsi="Calibri"/>
          <w:b/>
          <w:bCs/>
          <w:i/>
          <w:iCs/>
          <w:color w:val="1E293B"/>
          <w:sz w:val="22"/>
          <w:szCs w:val="22"/>
        </w:rPr>
        <w:t xml:space="preserve">the right tool for the right scope. </w:t>
      </w:r>
      <w:r>
        <w:rPr>
          <w:rFonts w:ascii="Calibri" w:cs="Calibri" w:eastAsia="Calibri" w:hAnsi="Calibri"/>
          <w:i/>
          <w:iCs/>
          <w:color w:val="1E293B"/>
          <w:sz w:val="22"/>
          <w:szCs w:val="22"/>
        </w:rPr>
        <w:t xml:space="preserve">Today's stated scope does not require HRSD. Tomorrow's scope might.</w:t>
      </w:r>
    </w:p>
    <w:p>
      <w:pPr>
        <w:pStyle w:val="Heading1"/>
        <w:spacing w:after="180" w:before="360"/>
      </w:pPr>
      <w:r>
        <w:rPr>
          <w:rFonts w:ascii="Calibri" w:cs="Calibri" w:eastAsia="Calibri" w:hAnsi="Calibri"/>
          <w:b/>
          <w:bCs/>
          <w:color w:val="0B1F3A"/>
          <w:sz w:val="32"/>
          <w:szCs w:val="32"/>
        </w:rPr>
        <w:t xml:space="preserve">Appendix A.  Indicative Build Scope for the Recommended Approach</w:t>
      </w:r>
    </w:p>
    <w:p>
      <w:pPr>
        <w:spacing w:after="120"/>
      </w:pPr>
      <w:r>
        <w:rPr>
          <w:rFonts w:ascii="Calibri" w:cs="Calibri" w:eastAsia="Calibri" w:hAnsi="Calibri"/>
          <w:color w:val="1E293B"/>
          <w:sz w:val="22"/>
          <w:szCs w:val="22"/>
        </w:rPr>
        <w:t xml:space="preserve">If Connection proceeds with the HAM + Service Catalog + Workflow approach, the following components define the build effort. This is indicative; final scope is set in workshops.</w:t>
      </w:r>
    </w:p>
    <w:p>
      <w:pPr>
        <w:pStyle w:val="ListParagraph"/>
        <w:numPr>
          <w:ilvl w:val="0"/>
          <w:numId w:val="2"/>
        </w:numPr>
        <w:spacing w:after="60"/>
      </w:pPr>
      <w:r>
        <w:rPr>
          <w:rFonts w:ascii="Calibri" w:cs="Calibri" w:eastAsia="Calibri" w:hAnsi="Calibri"/>
          <w:color w:val="1E293B"/>
          <w:sz w:val="22"/>
          <w:szCs w:val="22"/>
        </w:rPr>
        <w:t xml:space="preserve">New Hire Onboarding catalog record producer with dynamic UI Policies based on role and location.</w:t>
      </w:r>
    </w:p>
    <w:p>
      <w:pPr>
        <w:pStyle w:val="ListParagraph"/>
        <w:numPr>
          <w:ilvl w:val="0"/>
          <w:numId w:val="2"/>
        </w:numPr>
        <w:spacing w:after="60"/>
      </w:pPr>
      <w:r>
        <w:rPr>
          <w:rFonts w:ascii="Calibri" w:cs="Calibri" w:eastAsia="Calibri" w:hAnsi="Calibri"/>
          <w:color w:val="1E293B"/>
          <w:sz w:val="22"/>
          <w:szCs w:val="22"/>
        </w:rPr>
        <w:t xml:space="preserve">Catalog Tasks for IT, IAM, Facilities, and Service Desk, with role-based assignment rules.</w:t>
      </w:r>
    </w:p>
    <w:p>
      <w:pPr>
        <w:pStyle w:val="ListParagraph"/>
        <w:numPr>
          <w:ilvl w:val="0"/>
          <w:numId w:val="2"/>
        </w:numPr>
        <w:spacing w:after="60"/>
      </w:pPr>
      <w:r>
        <w:rPr>
          <w:rFonts w:ascii="Calibri" w:cs="Calibri" w:eastAsia="Calibri" w:hAnsi="Calibri"/>
          <w:color w:val="1E293B"/>
          <w:sz w:val="22"/>
          <w:szCs w:val="22"/>
        </w:rPr>
        <w:t xml:space="preserve">Flow Designer onboarding flow orchestrating fan-out, dependency holds, and SLA escalations.</w:t>
      </w:r>
    </w:p>
    <w:p>
      <w:pPr>
        <w:pStyle w:val="ListParagraph"/>
        <w:numPr>
          <w:ilvl w:val="0"/>
          <w:numId w:val="2"/>
        </w:numPr>
        <w:spacing w:after="60"/>
      </w:pPr>
      <w:r>
        <w:rPr>
          <w:rFonts w:ascii="Calibri" w:cs="Calibri" w:eastAsia="Calibri" w:hAnsi="Calibri"/>
          <w:color w:val="1E293B"/>
          <w:sz w:val="22"/>
          <w:szCs w:val="22"/>
        </w:rPr>
        <w:t xml:space="preserve">Microsoft IdM Spoke configuration: AD/Entra ID account creation, group membership, M365 license assignment, password reset.</w:t>
      </w:r>
    </w:p>
    <w:p>
      <w:pPr>
        <w:pStyle w:val="ListParagraph"/>
        <w:numPr>
          <w:ilvl w:val="0"/>
          <w:numId w:val="2"/>
        </w:numPr>
        <w:spacing w:after="60"/>
      </w:pPr>
      <w:r>
        <w:rPr>
          <w:rFonts w:ascii="Calibri" w:cs="Calibri" w:eastAsia="Calibri" w:hAnsi="Calibri"/>
          <w:color w:val="1E293B"/>
          <w:sz w:val="22"/>
          <w:szCs w:val="22"/>
        </w:rPr>
        <w:t xml:space="preserve">HAM laptop-assignment workflow tied to stockroom inventory and cost-center attribution.</w:t>
      </w:r>
    </w:p>
    <w:p>
      <w:pPr>
        <w:pStyle w:val="ListParagraph"/>
        <w:numPr>
          <w:ilvl w:val="0"/>
          <w:numId w:val="2"/>
        </w:numPr>
        <w:spacing w:after="60"/>
      </w:pPr>
      <w:r>
        <w:rPr>
          <w:rFonts w:ascii="Calibri" w:cs="Calibri" w:eastAsia="Calibri" w:hAnsi="Calibri"/>
          <w:color w:val="1E293B"/>
          <w:sz w:val="22"/>
          <w:szCs w:val="22"/>
        </w:rPr>
        <w:t xml:space="preserve">Employee Center status page for the new hire and the hiring manager, with watcher logic.</w:t>
      </w:r>
    </w:p>
    <w:p>
      <w:pPr>
        <w:pStyle w:val="ListParagraph"/>
        <w:numPr>
          <w:ilvl w:val="0"/>
          <w:numId w:val="2"/>
        </w:numPr>
        <w:spacing w:after="60"/>
      </w:pPr>
      <w:r>
        <w:rPr>
          <w:rFonts w:ascii="Calibri" w:cs="Calibri" w:eastAsia="Calibri" w:hAnsi="Calibri"/>
          <w:color w:val="1E293B"/>
          <w:sz w:val="22"/>
          <w:szCs w:val="22"/>
        </w:rPr>
        <w:t xml:space="preserve">Day-1 communications template (welcome email, login URL, location).</w:t>
      </w:r>
    </w:p>
    <w:p>
      <w:pPr>
        <w:pStyle w:val="ListParagraph"/>
        <w:numPr>
          <w:ilvl w:val="0"/>
          <w:numId w:val="2"/>
        </w:numPr>
        <w:spacing w:after="60"/>
      </w:pPr>
      <w:r>
        <w:rPr>
          <w:rFonts w:ascii="Calibri" w:cs="Calibri" w:eastAsia="Calibri" w:hAnsi="Calibri"/>
          <w:color w:val="1E293B"/>
          <w:sz w:val="22"/>
          <w:szCs w:val="22"/>
        </w:rPr>
        <w:t xml:space="preserve">Performance Analytics dashboard: cycle time, on-time-readiness rate, task SLA adherence, exception trends.</w:t>
      </w:r>
    </w:p>
    <w:p>
      <w:pPr>
        <w:pStyle w:val="ListParagraph"/>
        <w:numPr>
          <w:ilvl w:val="0"/>
          <w:numId w:val="2"/>
        </w:numPr>
        <w:spacing w:after="60"/>
      </w:pPr>
      <w:r>
        <w:rPr>
          <w:rFonts w:ascii="Calibri" w:cs="Calibri" w:eastAsia="Calibri" w:hAnsi="Calibri"/>
          <w:color w:val="1E293B"/>
          <w:sz w:val="22"/>
          <w:szCs w:val="22"/>
        </w:rPr>
        <w:t xml:space="preserve">Connection-side dependency: HRIS-driven new-hire trigger (e.g., daily Workday export or webhook) for automatic catalog request creation.</w:t>
      </w:r>
    </w:p>
    <w:p>
      <w:pPr>
        <w:pStyle w:val="Heading1"/>
        <w:spacing w:after="180" w:before="360"/>
      </w:pPr>
      <w:r>
        <w:rPr>
          <w:rFonts w:ascii="Calibri" w:cs="Calibri" w:eastAsia="Calibri" w:hAnsi="Calibri"/>
          <w:b/>
          <w:bCs/>
          <w:color w:val="0B1F3A"/>
          <w:sz w:val="32"/>
          <w:szCs w:val="32"/>
        </w:rPr>
        <w:t xml:space="preserve">Appendix B.  Glossary</w:t>
      </w:r>
    </w:p>
    <w:p>
      <w:pPr>
        <w:pStyle w:val="ListParagraph"/>
        <w:numPr>
          <w:ilvl w:val="0"/>
          <w:numId w:val="2"/>
        </w:numPr>
        <w:spacing w:after="60"/>
      </w:pPr>
      <w:r>
        <w:rPr>
          <w:rFonts w:ascii="Calibri" w:cs="Calibri" w:eastAsia="Calibri" w:hAnsi="Calibri"/>
          <w:b/>
          <w:bCs/>
          <w:color w:val="1E293B"/>
          <w:sz w:val="22"/>
          <w:szCs w:val="22"/>
        </w:rPr>
        <w:t xml:space="preserve">HRSD — </w:t>
      </w:r>
      <w:r>
        <w:rPr>
          <w:rFonts w:ascii="Calibri" w:cs="Calibri" w:eastAsia="Calibri" w:hAnsi="Calibri"/>
          <w:color w:val="1E293B"/>
          <w:sz w:val="22"/>
          <w:szCs w:val="22"/>
        </w:rPr>
        <w:t xml:space="preserve">ServiceNow Human Resources Service Delivery; the HR-owned platform for employee lifecycle, cases, documents, and journeys.</w:t>
      </w:r>
    </w:p>
    <w:p>
      <w:pPr>
        <w:pStyle w:val="ListParagraph"/>
        <w:numPr>
          <w:ilvl w:val="0"/>
          <w:numId w:val="2"/>
        </w:numPr>
        <w:spacing w:after="60"/>
      </w:pPr>
      <w:r>
        <w:rPr>
          <w:rFonts w:ascii="Calibri" w:cs="Calibri" w:eastAsia="Calibri" w:hAnsi="Calibri"/>
          <w:b/>
          <w:bCs/>
          <w:color w:val="1E293B"/>
          <w:sz w:val="22"/>
          <w:szCs w:val="22"/>
        </w:rPr>
        <w:t xml:space="preserve">HAM — </w:t>
      </w:r>
      <w:r>
        <w:rPr>
          <w:rFonts w:ascii="Calibri" w:cs="Calibri" w:eastAsia="Calibri" w:hAnsi="Calibri"/>
          <w:color w:val="1E293B"/>
          <w:sz w:val="22"/>
          <w:szCs w:val="22"/>
        </w:rPr>
        <w:t xml:space="preserve">Hardware Asset Management; the ServiceNow application for tracking and managing physical IT assets.</w:t>
      </w:r>
    </w:p>
    <w:p>
      <w:pPr>
        <w:pStyle w:val="ListParagraph"/>
        <w:numPr>
          <w:ilvl w:val="0"/>
          <w:numId w:val="2"/>
        </w:numPr>
        <w:spacing w:after="60"/>
      </w:pPr>
      <w:r>
        <w:rPr>
          <w:rFonts w:ascii="Calibri" w:cs="Calibri" w:eastAsia="Calibri" w:hAnsi="Calibri"/>
          <w:b/>
          <w:bCs/>
          <w:color w:val="1E293B"/>
          <w:sz w:val="22"/>
          <w:szCs w:val="22"/>
        </w:rPr>
        <w:t xml:space="preserve">Service Catalog — </w:t>
      </w:r>
      <w:r>
        <w:rPr>
          <w:rFonts w:ascii="Calibri" w:cs="Calibri" w:eastAsia="Calibri" w:hAnsi="Calibri"/>
          <w:color w:val="1E293B"/>
          <w:sz w:val="22"/>
          <w:szCs w:val="22"/>
        </w:rPr>
        <w:t xml:space="preserve">the ServiceNow capability for offering structured request items and workflows to users.</w:t>
      </w:r>
    </w:p>
    <w:p>
      <w:pPr>
        <w:pStyle w:val="ListParagraph"/>
        <w:numPr>
          <w:ilvl w:val="0"/>
          <w:numId w:val="2"/>
        </w:numPr>
        <w:spacing w:after="60"/>
      </w:pPr>
      <w:r>
        <w:rPr>
          <w:rFonts w:ascii="Calibri" w:cs="Calibri" w:eastAsia="Calibri" w:hAnsi="Calibri"/>
          <w:b/>
          <w:bCs/>
          <w:color w:val="1E293B"/>
          <w:sz w:val="22"/>
          <w:szCs w:val="22"/>
        </w:rPr>
        <w:t xml:space="preserve">Flow Designer — </w:t>
      </w:r>
      <w:r>
        <w:rPr>
          <w:rFonts w:ascii="Calibri" w:cs="Calibri" w:eastAsia="Calibri" w:hAnsi="Calibri"/>
          <w:color w:val="1E293B"/>
          <w:sz w:val="22"/>
          <w:szCs w:val="22"/>
        </w:rPr>
        <w:t xml:space="preserve">the low-code orchestration engine in ServiceNow used to build multi-step, multi-team workflows.</w:t>
      </w:r>
    </w:p>
    <w:p>
      <w:pPr>
        <w:pStyle w:val="ListParagraph"/>
        <w:numPr>
          <w:ilvl w:val="0"/>
          <w:numId w:val="2"/>
        </w:numPr>
        <w:spacing w:after="60"/>
      </w:pPr>
      <w:r>
        <w:rPr>
          <w:rFonts w:ascii="Calibri" w:cs="Calibri" w:eastAsia="Calibri" w:hAnsi="Calibri"/>
          <w:b/>
          <w:bCs/>
          <w:color w:val="1E293B"/>
          <w:sz w:val="22"/>
          <w:szCs w:val="22"/>
        </w:rPr>
        <w:t xml:space="preserve">IntegrationHub — </w:t>
      </w:r>
      <w:r>
        <w:rPr>
          <w:rFonts w:ascii="Calibri" w:cs="Calibri" w:eastAsia="Calibri" w:hAnsi="Calibri"/>
          <w:color w:val="1E293B"/>
          <w:sz w:val="22"/>
          <w:szCs w:val="22"/>
        </w:rPr>
        <w:t xml:space="preserve">the ServiceNow integration framework with pre-built spokes for common enterprise systems.</w:t>
      </w:r>
    </w:p>
    <w:p>
      <w:pPr>
        <w:pStyle w:val="ListParagraph"/>
        <w:numPr>
          <w:ilvl w:val="0"/>
          <w:numId w:val="2"/>
        </w:numPr>
        <w:spacing w:after="60"/>
      </w:pPr>
      <w:r>
        <w:rPr>
          <w:rFonts w:ascii="Calibri" w:cs="Calibri" w:eastAsia="Calibri" w:hAnsi="Calibri"/>
          <w:b/>
          <w:bCs/>
          <w:color w:val="1E293B"/>
          <w:sz w:val="22"/>
          <w:szCs w:val="22"/>
        </w:rPr>
        <w:t xml:space="preserve">Employee Center — </w:t>
      </w:r>
      <w:r>
        <w:rPr>
          <w:rFonts w:ascii="Calibri" w:cs="Calibri" w:eastAsia="Calibri" w:hAnsi="Calibri"/>
          <w:color w:val="1E293B"/>
          <w:sz w:val="22"/>
          <w:szCs w:val="22"/>
        </w:rPr>
        <w:t xml:space="preserve">the unified self-service portal for employees, scoped to the content they're entitled to see.</w:t>
      </w:r>
    </w:p>
    <w:p>
      <w:pPr>
        <w:pStyle w:val="ListParagraph"/>
        <w:numPr>
          <w:ilvl w:val="0"/>
          <w:numId w:val="2"/>
        </w:numPr>
        <w:spacing w:after="60"/>
      </w:pPr>
      <w:r>
        <w:rPr>
          <w:rFonts w:ascii="Calibri" w:cs="Calibri" w:eastAsia="Calibri" w:hAnsi="Calibri"/>
          <w:b/>
          <w:bCs/>
          <w:color w:val="1E293B"/>
          <w:sz w:val="22"/>
          <w:szCs w:val="22"/>
        </w:rPr>
        <w:t xml:space="preserve">HCM / HRIS — </w:t>
      </w:r>
      <w:r>
        <w:rPr>
          <w:rFonts w:ascii="Calibri" w:cs="Calibri" w:eastAsia="Calibri" w:hAnsi="Calibri"/>
          <w:color w:val="1E293B"/>
          <w:sz w:val="22"/>
          <w:szCs w:val="22"/>
        </w:rPr>
        <w:t xml:space="preserve">Human Capital Management / Human Resources Information System; the system of record for employee data (e.g., Workday).</w:t>
      </w:r>
    </w:p>
    <w:p>
      <w:pPr>
        <w:pStyle w:val="ListParagraph"/>
        <w:numPr>
          <w:ilvl w:val="0"/>
          <w:numId w:val="2"/>
        </w:numPr>
        <w:spacing w:after="60"/>
      </w:pPr>
      <w:r>
        <w:rPr>
          <w:rFonts w:ascii="Calibri" w:cs="Calibri" w:eastAsia="Calibri" w:hAnsi="Calibri"/>
          <w:b/>
          <w:bCs/>
          <w:color w:val="1E293B"/>
          <w:sz w:val="22"/>
          <w:szCs w:val="22"/>
        </w:rPr>
        <w:t xml:space="preserve">OOTB — </w:t>
      </w:r>
      <w:r>
        <w:rPr>
          <w:rFonts w:ascii="Calibri" w:cs="Calibri" w:eastAsia="Calibri" w:hAnsi="Calibri"/>
          <w:color w:val="1E293B"/>
          <w:sz w:val="22"/>
          <w:szCs w:val="22"/>
        </w:rPr>
        <w:t xml:space="preserve">Out of the Box; native ServiceNow functionality without customization.</w:t>
      </w:r>
    </w:p>
    <w:sectPr>
      <w:headerReference w:type="default" r:id="rId7"/>
      <w:footerReference w:type="default" r:id="rId8"/>
      <w:pgSz w:w="12240" w:h="15840" w:orient="portrait"/>
      <w:pgMar w:top="1620" w:right="1440" w:bottom="1440" w:left="1440" w:header="720" w:footer="576"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475569"/>
        <w:sz w:val="16"/>
        <w:szCs w:val="16"/>
      </w:rPr>
      <w:t xml:space="preserve">ECS Whitepaper  ·  HRSD vs HAM+SC+Workflow for IT Onboarding</w:t>
    </w:r>
    <w:r>
      <w:rPr>
        <w:rFonts w:ascii="Calibri" w:cs="Calibri" w:eastAsia="Calibri" w:hAnsi="Calibri"/>
      </w:rPr>
      <w:t xml:space="preserve">	</w:t>
    </w:r>
    <w:r>
      <w:rPr>
        <w:rFonts w:ascii="Calibri" w:cs="Calibri" w:eastAsia="Calibri" w:hAnsi="Calibri"/>
        <w:color w:val="475569"/>
        <w:sz w:val="16"/>
        <w:szCs w:val="16"/>
      </w:rPr>
      <w:t xml:space="preserve">Page </w:t>
    </w:r>
    <w:r>
      <w:rPr>
        <w:rFonts w:ascii="Calibri" w:cs="Calibri" w:eastAsia="Calibri" w:hAnsi="Calibri"/>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drawing>
        <wp:inline distT="0" distB="0" distL="0" distR="0">
          <wp:extent cx="1143000" cy="219075"/>
          <wp:effectExtent t="0" r="0" b="0" l="0"/>
          <wp:docPr id="1" name="Logo" descr="Everforth ECS Federal logo" title="Everforth ECS Fed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219075"/>
                  </a:xfrm>
                  <a:prstGeom prst="rect">
                    <a:avLst/>
                  </a:prstGeom>
                </pic:spPr>
              </pic:pic>
            </a:graphicData>
          </a:graphic>
        </wp:inline>
      </w:drawing>
    </w:r>
    <w:r>
      <w:rPr>
        <w:rFonts w:ascii="Calibri" w:cs="Calibri" w:eastAsia="Calibri" w:hAnsi="Calibri"/>
        <w:sz w:val="18"/>
        <w:szCs w:val="18"/>
      </w:rPr>
      <w:t xml:space="preserve">	</w:t>
    </w:r>
    <w:r>
      <w:rPr>
        <w:rFonts w:ascii="Calibri" w:cs="Calibri" w:eastAsia="Calibri" w:hAnsi="Calibri"/>
        <w:color w:val="475569"/>
        <w:spacing w:val="30"/>
        <w:sz w:val="18"/>
        <w:szCs w:val="18"/>
      </w:rPr>
      <w:t xml:space="preserve">Connection  ·  Onboarding Capability Assessment</w:t>
    </w:r>
  </w:p>
  <w:p>
    <w:pPr>
      <w:pBdr>
        <w:bottom w:val="single" w:color="14B8A6" w:sz="8" w:space="1"/>
      </w:pBdr>
      <w:spacing w:before="60"/>
    </w:pPr>
    <w:r>
      <w:rPr>
        <w:sz w:val="4"/>
        <w:szCs w:val="4"/>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B1F3A"/>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0B1F3A"/>
      <w:sz w:val="26"/>
      <w:szCs w:val="26"/>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endnotes" Target="endnotes.xml"/><Relationship Id="rId9" Type="http://schemas.openxmlformats.org/officeDocument/2006/relationships/image" Target="media/154846f4066746b49259fb08f2a83d17c2a67096.png"/><Relationship Id="rId14" Type="http://schemas.openxmlformats.org/officeDocument/2006/relationships/customXml" Target="../customXml/item4.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54846f4066746b49259fb08f2a83d17c2a67096.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C18AF536E63484A9B73CECC96E010FF" ma:contentTypeVersion="19" ma:contentTypeDescription="Create a new document." ma:contentTypeScope="" ma:versionID="33422ae79d2a315b8c303e9c27e5a991">
  <xsd:schema xmlns:xsd="http://www.w3.org/2001/XMLSchema" xmlns:xs="http://www.w3.org/2001/XMLSchema" xmlns:p="http://schemas.microsoft.com/office/2006/metadata/properties" xmlns:ns2="d1ffb523-bb88-49c4-b429-725e751bd64a" xmlns:ns3="ea10e7c1-45f6-45a6-9220-470b2ac38f45" targetNamespace="http://schemas.microsoft.com/office/2006/metadata/properties" ma:root="true" ma:fieldsID="02f734f998161832bfcf327b16e32379" ns2:_="" ns3:_="">
    <xsd:import namespace="d1ffb523-bb88-49c4-b429-725e751bd64a"/>
    <xsd:import namespace="ea10e7c1-45f6-45a6-9220-470b2ac38f4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DateTaken" minOccurs="0"/>
                <xsd:element ref="ns2:MediaServiceLocation" minOccurs="0"/>
                <xsd:element ref="ns2:MediaLengthInSeconds" minOccurs="0"/>
                <xsd:element ref="ns2:SN_x0020_Document_x0020_ID"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3:_dlc_DocId" minOccurs="0"/>
                <xsd:element ref="ns3:_dlc_DocIdUrl" minOccurs="0"/>
                <xsd:element ref="ns3:_dlc_DocIdPersistId"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fb523-bb88-49c4-b429-725e751bd6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SN_x0020_Document_x0020_ID" ma:index="19" nillable="true" ma:displayName="SN Document ID" ma:internalName="SN_x0020_Document_x0020_ID">
      <xsd:simpleType>
        <xsd:restriction base="dms:Text">
          <xsd:maxLength value="255"/>
        </xsd:restrictio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4d9e1cf0-734a-42bd-bffb-729eb9a511c1" ma:termSetId="09814cd3-568e-fe90-9814-8d621ff8fb84" ma:anchorId="fba54fb3-c3e1-fe81-a776-ca4b69148c4d" ma:open="true" ma:isKeyword="false">
      <xsd:complexType>
        <xsd:sequence>
          <xsd:element ref="pc:Terms" minOccurs="0" maxOccurs="1"/>
        </xsd:sequence>
      </xsd:complex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a10e7c1-45f6-45a6-9220-470b2ac38f45"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d7da812-b143-4bf6-b650-654521c20479}" ma:internalName="TaxCatchAll" ma:showField="CatchAllData" ma:web="ea10e7c1-45f6-45a6-9220-470b2ac38f45">
      <xsd:complexType>
        <xsd:complexContent>
          <xsd:extension base="dms:MultiChoiceLookup">
            <xsd:sequence>
              <xsd:element name="Value" type="dms:Lookup" maxOccurs="unbounded" minOccurs="0" nillable="true"/>
            </xsd:sequence>
          </xsd:extension>
        </xsd:complexContent>
      </xsd:complexType>
    </xsd:element>
    <xsd:element name="_dlc_DocId" ma:index="26" nillable="true" ma:displayName="Document ID Value" ma:description="The value of the document ID assigned to this item." ma:indexed="true"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N_x0020_Document_x0020_ID xmlns="d1ffb523-bb88-49c4-b429-725e751bd64a" xsi:nil="true"/>
    <TaxCatchAll xmlns="ea10e7c1-45f6-45a6-9220-470b2ac38f45" xsi:nil="true"/>
    <lcf76f155ced4ddcb4097134ff3c332f xmlns="d1ffb523-bb88-49c4-b429-725e751bd64a">
      <Terms xmlns="http://schemas.microsoft.com/office/infopath/2007/PartnerControls"/>
    </lcf76f155ced4ddcb4097134ff3c332f>
    <_dlc_DocId xmlns="ea10e7c1-45f6-45a6-9220-470b2ac38f45">DOCID-202112391-25577</_dlc_DocId>
    <_dlc_DocIdUrl xmlns="ea10e7c1-45f6-45a6-9220-470b2ac38f45">
      <Url>https://itecsfederal.sharepoint.com/teams/MissionSolutions/ISM/_layouts/15/DocIdRedir.aspx?ID=DOCID-202112391-25577</Url>
      <Description>DOCID-202112391-25577</Description>
    </_dlc_DocIdUrl>
  </documentManagement>
</p:properties>
</file>

<file path=customXml/itemProps1.xml><?xml version="1.0" encoding="utf-8"?>
<ds:datastoreItem xmlns:ds="http://schemas.openxmlformats.org/officeDocument/2006/customXml" ds:itemID="{A15705DE-515B-48B6-9E38-7FC4E64C4E43}"/>
</file>

<file path=customXml/itemProps2.xml><?xml version="1.0" encoding="utf-8"?>
<ds:datastoreItem xmlns:ds="http://schemas.openxmlformats.org/officeDocument/2006/customXml" ds:itemID="{2B44ADA6-FAD6-4113-9B81-98519D50DA19}"/>
</file>

<file path=customXml/itemProps3.xml><?xml version="1.0" encoding="utf-8"?>
<ds:datastoreItem xmlns:ds="http://schemas.openxmlformats.org/officeDocument/2006/customXml" ds:itemID="{784D9B6F-9C01-43C2-A8D7-7441CA1A3CDF}"/>
</file>

<file path=customXml/itemProps4.xml><?xml version="1.0" encoding="utf-8"?>
<ds:datastoreItem xmlns:ds="http://schemas.openxmlformats.org/officeDocument/2006/customXml" ds:itemID="{469355A7-FB6F-48AC-92F0-FA4D8177FE23}"/>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in ServiceNow: HRSD vs. a HAM + Service Catalog Approach</dc:title>
  <dc:creator>ECS Federal</dc:creator>
  <cp:lastModifiedBy>Un-named</cp:lastModifiedBy>
  <cp:revision>1</cp:revision>
  <dcterms:created xsi:type="dcterms:W3CDTF">2026-05-01T15:21:57Z</dcterms:created>
  <dcterms:modified xsi:type="dcterms:W3CDTF">2026-05-01T15:21:57Z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0x010100DC18AF536E63484A9B73CECC96E010FF</vt:lpwstr>
  </property>
  <property fmtid="{D5CDD505-2E9C-101B-9397-08002B2CF9AE}" pid="3" name="_dlc_DocIdItemGuid">
    <vt:lpwstr>9104122c-f4b9-4f05-9443-c71610bcf0fd</vt:lpwstr>
  </property>
</Properties>
</file>