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INTERNAL BLUEPRINT</w:t>
      </w:r>
    </w:p>
    <w:p>
      <w:pPr>
        <w:spacing w:after="120"/>
      </w:pPr>
      <w:r>
        <w:rPr>
          <w:rFonts w:ascii="Calibri" w:cs="Calibri" w:eastAsia="Calibri" w:hAnsi="Calibri"/>
          <w:b/>
          <w:bCs/>
          <w:color w:val="0B1F3A"/>
          <w:sz w:val="56"/>
          <w:szCs w:val="56"/>
        </w:rPr>
        <w:t xml:space="preserve">Category Stack</w:t>
      </w:r>
    </w:p>
    <w:p>
      <w:pPr>
        <w:spacing w:after="120"/>
      </w:pPr>
      <w:r>
        <w:rPr>
          <w:rFonts w:ascii="Calibri" w:cs="Calibri" w:eastAsia="Calibri" w:hAnsi="Calibri"/>
          <w:b/>
          <w:bCs/>
          <w:color w:val="0B1F3A"/>
          <w:sz w:val="56"/>
          <w:szCs w:val="56"/>
        </w:rPr>
        <w:t xml:space="preserve">Realignment Blueprint</w:t>
      </w:r>
    </w:p>
    <w:p>
      <w:pPr>
        <w:spacing w:after="480"/>
      </w:pPr>
      <w:r>
        <w:rPr>
          <w:rFonts w:ascii="Calibri" w:cs="Calibri" w:eastAsia="Calibri" w:hAnsi="Calibri"/>
          <w:i/>
          <w:iCs/>
          <w:color w:val="0D9488"/>
          <w:sz w:val="24"/>
          <w:szCs w:val="24"/>
        </w:rPr>
        <w:t xml:space="preserve">How to take a customer from a 375+ legacy category stack to an OOTB-aligned 35-leaf model — and bring them with you</w:t>
      </w:r>
    </w:p>
    <w:p>
      <w:pPr>
        <w:pBdr>
          <w:bottom w:val="single" w:color="14B8A6" w:sz="12" w:space="1"/>
        </w:pBdr>
      </w:pPr>
      <w:r>
        <w:t xml:space="preserve"/>
      </w:r>
    </w:p>
    <w:p>
      <w:pPr>
        <w:spacing w:after="60" w:before="200"/>
      </w:pPr>
      <w:r>
        <w:rPr>
          <w:rFonts w:ascii="Calibri" w:cs="Calibri" w:eastAsia="Calibri" w:hAnsi="Calibri"/>
          <w:i w:val="false"/>
          <w:iCs w:val="false"/>
          <w:color w:val="1E293B"/>
          <w:sz w:val="22"/>
          <w:szCs w:val="22"/>
        </w:rPr>
        <w:t xml:space="preserve">ECS Federal  ·  ServiceNow Practice</w:t>
      </w:r>
    </w:p>
    <w:p>
      <w:pPr>
        <w:spacing w:after="60" w:before="0"/>
      </w:pPr>
      <w:r>
        <w:rPr>
          <w:rFonts w:ascii="Calibri" w:cs="Calibri" w:eastAsia="Calibri" w:hAnsi="Calibri"/>
          <w:i w:val="false"/>
          <w:iCs w:val="false"/>
          <w:color w:val="1E293B"/>
          <w:sz w:val="22"/>
          <w:szCs w:val="22"/>
        </w:rPr>
        <w:t xml:space="preserve">Audience: Solution Architects, Process Consultants, Engagement Managers</w:t>
      </w:r>
    </w:p>
    <w:p>
      <w:pPr>
        <w:spacing w:after="60" w:before="0"/>
      </w:pPr>
      <w:r>
        <w:rPr>
          <w:rFonts w:ascii="Calibri" w:cs="Calibri" w:eastAsia="Calibri" w:hAnsi="Calibri"/>
          <w:i/>
          <w:iCs/>
          <w:color w:val="475569"/>
          <w:sz w:val="18"/>
          <w:szCs w:val="18"/>
        </w:rPr>
        <w:t xml:space="preserve">Internal Use Only · Confidential</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How to Use This Blueprint</w:t>
      </w:r>
    </w:p>
    <w:p>
      <w:pPr>
        <w:spacing w:after="120"/>
      </w:pPr>
      <w:r>
        <w:rPr>
          <w:rFonts w:ascii="Calibri" w:cs="Calibri" w:eastAsia="Calibri" w:hAnsi="Calibri"/>
          <w:color w:val="1E293B"/>
          <w:sz w:val="22"/>
          <w:szCs w:val="22"/>
        </w:rPr>
        <w:t xml:space="preserve">This is the working document for the Solution Architect or Process Consultant facing a customer with a large legacy category stack — typically 375 to 1,500+ unique category/subcategory combinations carried forward from HP Service Manager, BMC Remedy, or a years-old ServiceNow build. It exists because category-stack realignment is the most architecturally consequential conversation in a Phase 1 reimplementation, and the conversation that customers resist hardest. Done well, the customer arrives at the OOTB conclusion themselves; done poorly, you spend the engagement debating the shape of a dropdown.</w:t>
      </w:r>
    </w:p>
    <w:p>
      <w:pPr>
        <w:spacing w:after="120"/>
      </w:pPr>
      <w:r>
        <w:rPr>
          <w:rFonts w:ascii="Calibri" w:cs="Calibri" w:eastAsia="Calibri" w:hAnsi="Calibri"/>
          <w:color w:val="1E293B"/>
          <w:sz w:val="22"/>
          <w:szCs w:val="22"/>
        </w:rPr>
        <w:t xml:space="preserve">Read the document end-to-end before your first customer workshop on this topic. Section 1 is the conceptual frame you'll use throughout — internalize it. Sections 2 and 3 are the analytic work you do before the customer sees anything. Sections 4 and 5 are the workshops you facilitate. Section 6 is the pushback library — keep it open during workshops. Sections 7 and 8 cover migration and validation. The appendices are working tools.</w:t>
      </w:r>
    </w:p>
    <w:p>
      <w:pPr>
        <w:pStyle w:val="Heading1"/>
        <w:spacing w:after="180" w:before="360"/>
      </w:pPr>
      <w:r>
        <w:rPr>
          <w:rFonts w:ascii="Calibri" w:cs="Calibri" w:eastAsia="Calibri" w:hAnsi="Calibri"/>
          <w:b/>
          <w:bCs/>
          <w:color w:val="0B1F3A"/>
          <w:sz w:val="32"/>
          <w:szCs w:val="32"/>
        </w:rPr>
        <w:t xml:space="preserve">1.  The Diagnosis — What Customers Actually Built</w:t>
      </w:r>
    </w:p>
    <w:p>
      <w:pPr>
        <w:pStyle w:val="Heading2"/>
        <w:spacing w:after="120" w:before="240"/>
      </w:pPr>
      <w:r>
        <w:rPr>
          <w:rFonts w:ascii="Calibri" w:cs="Calibri" w:eastAsia="Calibri" w:hAnsi="Calibri"/>
          <w:b/>
          <w:bCs/>
          <w:color w:val="0B1F3A"/>
          <w:sz w:val="26"/>
          <w:szCs w:val="26"/>
        </w:rPr>
        <w:t xml:space="preserve">1.1  Why the stack got so large</w:t>
      </w:r>
    </w:p>
    <w:p>
      <w:pPr>
        <w:spacing w:after="120"/>
      </w:pPr>
      <w:r>
        <w:rPr>
          <w:rFonts w:ascii="Calibri" w:cs="Calibri" w:eastAsia="Calibri" w:hAnsi="Calibri"/>
          <w:color w:val="1E293B"/>
          <w:sz w:val="22"/>
          <w:szCs w:val="22"/>
        </w:rPr>
        <w:t xml:space="preserve">Customers didn't build 375-leaf category stacks out of negligence. They built them because their legacy ITSM tools — HP Service Manager, BMC Remedy, early-customized ServiceNow — didn't have a working CMDB or service taxonomy. The category dropdown became the only place to encode "what is this ticket about," and that encoding had to support three operational jobs at once.</w:t>
      </w:r>
    </w:p>
    <w:p>
      <w:pPr>
        <w:spacing w:after="120"/>
      </w:pPr>
      <w:r>
        <w:rPr>
          <w:rFonts w:ascii="Calibri" w:cs="Calibri" w:eastAsia="Calibri" w:hAnsi="Calibri"/>
          <w:b/>
          <w:bCs/>
          <w:color w:val="1E293B"/>
          <w:sz w:val="22"/>
          <w:szCs w:val="22"/>
        </w:rPr>
        <w:t xml:space="preserve">Job 1 — Categorization. </w:t>
      </w:r>
      <w:r>
        <w:rPr>
          <w:rFonts w:ascii="Calibri" w:cs="Calibri" w:eastAsia="Calibri" w:hAnsi="Calibri"/>
          <w:color w:val="1E293B"/>
          <w:sz w:val="22"/>
          <w:szCs w:val="22"/>
        </w:rPr>
        <w:t xml:space="preserve">What kind of issue is this? (Hardware, Software, Network.) This is the legitimate use of a category field.</w:t>
      </w:r>
    </w:p>
    <w:p>
      <w:pPr>
        <w:spacing w:after="120"/>
      </w:pPr>
      <w:r>
        <w:rPr>
          <w:rFonts w:ascii="Calibri" w:cs="Calibri" w:eastAsia="Calibri" w:hAnsi="Calibri"/>
          <w:b/>
          <w:bCs/>
          <w:color w:val="1E293B"/>
          <w:sz w:val="22"/>
          <w:szCs w:val="22"/>
        </w:rPr>
        <w:t xml:space="preserve">Job 2 — Identification. </w:t>
      </w:r>
      <w:r>
        <w:rPr>
          <w:rFonts w:ascii="Calibri" w:cs="Calibri" w:eastAsia="Calibri" w:hAnsi="Calibri"/>
          <w:color w:val="1E293B"/>
          <w:sz w:val="22"/>
          <w:szCs w:val="22"/>
        </w:rPr>
        <w:t xml:space="preserve">Which application, service, or system? (Outlook, Salesforce, the VPN.) In a CMDB-less world, this had to live in the dropdown.</w:t>
      </w:r>
    </w:p>
    <w:p>
      <w:pPr>
        <w:spacing w:after="120"/>
      </w:pPr>
      <w:r>
        <w:rPr>
          <w:rFonts w:ascii="Calibri" w:cs="Calibri" w:eastAsia="Calibri" w:hAnsi="Calibri"/>
          <w:b/>
          <w:bCs/>
          <w:color w:val="1E293B"/>
          <w:sz w:val="22"/>
          <w:szCs w:val="22"/>
        </w:rPr>
        <w:t xml:space="preserve">Job 3 — Routing. </w:t>
      </w:r>
      <w:r>
        <w:rPr>
          <w:rFonts w:ascii="Calibri" w:cs="Calibri" w:eastAsia="Calibri" w:hAnsi="Calibri"/>
          <w:color w:val="1E293B"/>
          <w:sz w:val="22"/>
          <w:szCs w:val="22"/>
        </w:rPr>
        <w:t xml:space="preserve">Which team handles this? (Email Ops, CRM Team, Network Ops.) In a service-model-less world, the dropdown was the routing key.</w:t>
      </w:r>
    </w:p>
    <w:p>
      <w:pPr>
        <w:spacing w:after="120"/>
      </w:pPr>
      <w:r>
        <w:rPr>
          <w:rFonts w:ascii="Calibri" w:cs="Calibri" w:eastAsia="Calibri" w:hAnsi="Calibri"/>
          <w:color w:val="1E293B"/>
          <w:sz w:val="22"/>
          <w:szCs w:val="22"/>
        </w:rPr>
        <w:t xml:space="preserve">The 4–6 level dropdown trees you see were the customer's compromise: a flat data structure being asked to do relational work. Naming this back to the customer is the unlock — they weren't wrong; they were doing the right thing with the wrong tool.</w:t>
      </w:r>
    </w:p>
    <w:p>
      <w:pPr>
        <w:pStyle w:val="Heading2"/>
        <w:spacing w:after="120" w:before="240"/>
      </w:pPr>
      <w:r>
        <w:rPr>
          <w:rFonts w:ascii="Calibri" w:cs="Calibri" w:eastAsia="Calibri" w:hAnsi="Calibri"/>
          <w:b/>
          <w:bCs/>
          <w:color w:val="0B1F3A"/>
          <w:sz w:val="26"/>
          <w:szCs w:val="26"/>
        </w:rPr>
        <w:t xml:space="preserve">1.2  The pattern hidden in the noise</w:t>
      </w:r>
    </w:p>
    <w:p>
      <w:pPr>
        <w:spacing w:after="120"/>
      </w:pPr>
      <w:r>
        <w:rPr>
          <w:rFonts w:ascii="Calibri" w:cs="Calibri" w:eastAsia="Calibri" w:hAnsi="Calibri"/>
          <w:color w:val="1E293B"/>
          <w:sz w:val="22"/>
          <w:szCs w:val="22"/>
        </w:rPr>
        <w:t xml:space="preserve">Across every legacy stack we've analyzed, the same pattern appears: 200 to 1,500 unique category combinations resolve to 8 to 15 distinct routing decisions. The dropdown is exponentially more granular than the operational reality it serves. This is the single most powerful data point you can bring to the customer — and it comes from their own data.</w:t>
      </w:r>
    </w:p>
    <w:p>
      <w:pPr>
        <w:spacing w:after="120"/>
      </w:pPr>
      <w:r>
        <w:rPr>
          <w:rFonts w:ascii="Calibri" w:cs="Calibri" w:eastAsia="Calibri" w:hAnsi="Calibri"/>
          <w:color w:val="1E293B"/>
          <w:sz w:val="22"/>
          <w:szCs w:val="22"/>
        </w:rPr>
        <w:t xml:space="preserve">The reason is that humans pick categories inconsistently. Three different agents seeing the same Outlook crash will pick three different categorization paths (Software → Microsoft → Outlook → Crashes; Software → Email → Outlook → Application Error; Hardware → Workstation → Software → Outlook). All three end up routed to the same team. The dropdown's information value is far less than its cardinality suggests.</w:t>
      </w:r>
    </w:p>
    <w:p>
      <w:pPr>
        <w:pStyle w:val="Heading2"/>
        <w:spacing w:after="120" w:before="240"/>
      </w:pPr>
      <w:r>
        <w:rPr>
          <w:rFonts w:ascii="Calibri" w:cs="Calibri" w:eastAsia="Calibri" w:hAnsi="Calibri"/>
          <w:b/>
          <w:bCs/>
          <w:color w:val="0B1F3A"/>
          <w:sz w:val="26"/>
          <w:szCs w:val="26"/>
        </w:rPr>
        <w:t xml:space="preserve">1.3  Why this matters now (and didn't before)</w:t>
      </w:r>
    </w:p>
    <w:p>
      <w:pPr>
        <w:spacing w:after="120"/>
      </w:pPr>
      <w:r>
        <w:rPr>
          <w:rFonts w:ascii="Calibri" w:cs="Calibri" w:eastAsia="Calibri" w:hAnsi="Calibri"/>
          <w:color w:val="1E293B"/>
          <w:sz w:val="22"/>
          <w:szCs w:val="22"/>
        </w:rPr>
        <w:t xml:space="preserve">ServiceNow's CSDM and AI capabilities collectively change the cost calculation:</w:t>
      </w:r>
    </w:p>
    <w:p>
      <w:pPr>
        <w:pStyle w:val="ListParagraph"/>
        <w:numPr>
          <w:ilvl w:val="0"/>
          <w:numId w:val="2"/>
        </w:numPr>
        <w:spacing w:after="60"/>
      </w:pPr>
      <w:r>
        <w:rPr>
          <w:rFonts w:ascii="Calibri" w:cs="Calibri" w:eastAsia="Calibri" w:hAnsi="Calibri"/>
          <w:color w:val="1E293B"/>
          <w:sz w:val="22"/>
          <w:szCs w:val="22"/>
        </w:rPr>
        <w:t xml:space="preserve">CSDM finally provides the relational service taxonomy the legacy stack was approximating. Routing can come from CI relationships rather than category leaves.</w:t>
      </w:r>
    </w:p>
    <w:p>
      <w:pPr>
        <w:pStyle w:val="ListParagraph"/>
        <w:numPr>
          <w:ilvl w:val="0"/>
          <w:numId w:val="2"/>
        </w:numPr>
        <w:spacing w:after="60"/>
      </w:pPr>
      <w:r>
        <w:rPr>
          <w:rFonts w:ascii="Calibri" w:cs="Calibri" w:eastAsia="Calibri" w:hAnsi="Calibri"/>
          <w:color w:val="1E293B"/>
          <w:sz w:val="22"/>
          <w:szCs w:val="22"/>
        </w:rPr>
        <w:t xml:space="preserve">Predictive Intelligence learns from outcomes (who actually resolved this) — and learns better with cleaner, fewer categories trained on more data per category.</w:t>
      </w:r>
    </w:p>
    <w:p>
      <w:pPr>
        <w:pStyle w:val="ListParagraph"/>
        <w:numPr>
          <w:ilvl w:val="0"/>
          <w:numId w:val="2"/>
        </w:numPr>
        <w:spacing w:after="60"/>
      </w:pPr>
      <w:r>
        <w:rPr>
          <w:rFonts w:ascii="Calibri" w:cs="Calibri" w:eastAsia="Calibri" w:hAnsi="Calibri"/>
          <w:color w:val="1E293B"/>
          <w:sz w:val="22"/>
          <w:szCs w:val="22"/>
        </w:rPr>
        <w:t xml:space="preserve">AI Search and Virtual Agent depend on content quality, not category-tree depth. A monster stack adds noise to AI training, not signal.</w:t>
      </w:r>
    </w:p>
    <w:p>
      <w:pPr>
        <w:pStyle w:val="ListParagraph"/>
        <w:numPr>
          <w:ilvl w:val="0"/>
          <w:numId w:val="2"/>
        </w:numPr>
        <w:spacing w:after="60"/>
      </w:pPr>
      <w:r>
        <w:rPr>
          <w:rFonts w:ascii="Calibri" w:cs="Calibri" w:eastAsia="Calibri" w:hAnsi="Calibri"/>
          <w:color w:val="1E293B"/>
          <w:sz w:val="22"/>
          <w:szCs w:val="22"/>
        </w:rPr>
        <w:t xml:space="preserve">OOTB Reporting and Performance Analytics expect a stable, manageable taxonomy. A legacy stack that drifts every month produces inconsistent trend data.</w:t>
      </w:r>
    </w:p>
    <w:p>
      <w:pPr>
        <w:spacing w:after="120"/>
      </w:pPr>
      <w:r>
        <w:rPr>
          <w:rFonts w:ascii="Calibri" w:cs="Calibri" w:eastAsia="Calibri" w:hAnsi="Calibri"/>
          <w:color w:val="1E293B"/>
          <w:sz w:val="22"/>
          <w:szCs w:val="22"/>
        </w:rPr>
        <w:t xml:space="preserve">The customer hasn't been wrong; the platform has gotten substantially better at the relational and AI work that the dropdown was approximating. The dropdown is no longer load-bearing. It can return to being a categorization field — and free up the customer's team from years of dropdown maintenance.</w:t>
      </w:r>
    </w:p>
    <w:p>
      <w:r>
        <w:br w:type="page"/>
      </w:r>
    </w:p>
    <w:p>
      <w:pPr>
        <w:pStyle w:val="Heading1"/>
        <w:spacing w:after="180" w:before="360"/>
      </w:pPr>
      <w:r>
        <w:rPr>
          <w:rFonts w:ascii="Calibri" w:cs="Calibri" w:eastAsia="Calibri" w:hAnsi="Calibri"/>
          <w:b/>
          <w:bCs/>
          <w:color w:val="0B1F3A"/>
          <w:sz w:val="32"/>
          <w:szCs w:val="32"/>
        </w:rPr>
        <w:t xml:space="preserve">2.  The Analysis Method — Before the Customer Sees Anything</w:t>
      </w:r>
    </w:p>
    <w:p>
      <w:pPr>
        <w:spacing w:after="120"/>
      </w:pPr>
      <w:r>
        <w:rPr>
          <w:rFonts w:ascii="Calibri" w:cs="Calibri" w:eastAsia="Calibri" w:hAnsi="Calibri"/>
          <w:color w:val="1E293B"/>
          <w:sz w:val="22"/>
          <w:szCs w:val="22"/>
        </w:rPr>
        <w:t xml:space="preserve">You do the analytic work first. The customer doesn't see your conclusions; they arrive at them through Workshop 1 (Section 5). But you need the data in hand before that workshop, or the conversation degenerates into opinion.</w:t>
      </w:r>
    </w:p>
    <w:p>
      <w:pPr>
        <w:pStyle w:val="Heading2"/>
        <w:spacing w:after="120" w:before="240"/>
      </w:pPr>
      <w:r>
        <w:rPr>
          <w:rFonts w:ascii="Calibri" w:cs="Calibri" w:eastAsia="Calibri" w:hAnsi="Calibri"/>
          <w:b/>
          <w:bCs/>
          <w:color w:val="0B1F3A"/>
          <w:sz w:val="26"/>
          <w:szCs w:val="26"/>
        </w:rPr>
        <w:t xml:space="preserve">2.1  The data pull</w:t>
      </w:r>
    </w:p>
    <w:p>
      <w:pPr>
        <w:spacing w:after="120"/>
      </w:pPr>
      <w:r>
        <w:rPr>
          <w:rFonts w:ascii="Calibri" w:cs="Calibri" w:eastAsia="Calibri" w:hAnsi="Calibri"/>
          <w:color w:val="1E293B"/>
          <w:sz w:val="22"/>
          <w:szCs w:val="22"/>
        </w:rPr>
        <w:t xml:space="preserve">Pull from the legacy instance (or current ServiceNow if customizing in place):</w:t>
      </w:r>
    </w:p>
    <w:p>
      <w:pPr>
        <w:pStyle w:val="ListParagraph"/>
        <w:numPr>
          <w:ilvl w:val="0"/>
          <w:numId w:val="2"/>
        </w:numPr>
        <w:spacing w:after="60"/>
      </w:pPr>
      <w:r>
        <w:rPr>
          <w:rFonts w:ascii="Calibri" w:cs="Calibri" w:eastAsia="Calibri" w:hAnsi="Calibri"/>
          <w:color w:val="1E293B"/>
          <w:sz w:val="22"/>
          <w:szCs w:val="22"/>
        </w:rPr>
        <w:t xml:space="preserve">60–90 days of incidents and requests.</w:t>
      </w:r>
    </w:p>
    <w:p>
      <w:pPr>
        <w:pStyle w:val="ListParagraph"/>
        <w:numPr>
          <w:ilvl w:val="0"/>
          <w:numId w:val="2"/>
        </w:numPr>
        <w:spacing w:after="60"/>
      </w:pPr>
      <w:r>
        <w:rPr>
          <w:rFonts w:ascii="Calibri" w:cs="Calibri" w:eastAsia="Calibri" w:hAnsi="Calibri"/>
          <w:color w:val="1E293B"/>
          <w:sz w:val="22"/>
          <w:szCs w:val="22"/>
        </w:rPr>
        <w:t xml:space="preserve">All category, subcategory (and sub-subcategory if applicable) selections.</w:t>
      </w:r>
    </w:p>
    <w:p>
      <w:pPr>
        <w:pStyle w:val="ListParagraph"/>
        <w:numPr>
          <w:ilvl w:val="0"/>
          <w:numId w:val="2"/>
        </w:numPr>
        <w:spacing w:after="60"/>
      </w:pPr>
      <w:r>
        <w:rPr>
          <w:rFonts w:ascii="Calibri" w:cs="Calibri" w:eastAsia="Calibri" w:hAnsi="Calibri"/>
          <w:color w:val="1E293B"/>
          <w:sz w:val="22"/>
          <w:szCs w:val="22"/>
        </w:rPr>
        <w:t xml:space="preserve">Assignment group on each record.</w:t>
      </w:r>
    </w:p>
    <w:p>
      <w:pPr>
        <w:pStyle w:val="ListParagraph"/>
        <w:numPr>
          <w:ilvl w:val="0"/>
          <w:numId w:val="2"/>
        </w:numPr>
        <w:spacing w:after="60"/>
      </w:pPr>
      <w:r>
        <w:rPr>
          <w:rFonts w:ascii="Calibri" w:cs="Calibri" w:eastAsia="Calibri" w:hAnsi="Calibri"/>
          <w:color w:val="1E293B"/>
          <w:sz w:val="22"/>
          <w:szCs w:val="22"/>
        </w:rPr>
        <w:t xml:space="preserve">CMDB CI on each record (often blank or sparse — note the rate).</w:t>
      </w:r>
    </w:p>
    <w:p>
      <w:pPr>
        <w:pStyle w:val="ListParagraph"/>
        <w:numPr>
          <w:ilvl w:val="0"/>
          <w:numId w:val="2"/>
        </w:numPr>
        <w:spacing w:after="60"/>
      </w:pPr>
      <w:r>
        <w:rPr>
          <w:rFonts w:ascii="Calibri" w:cs="Calibri" w:eastAsia="Calibri" w:hAnsi="Calibri"/>
          <w:color w:val="1E293B"/>
          <w:sz w:val="22"/>
          <w:szCs w:val="22"/>
        </w:rPr>
        <w:t xml:space="preserve">Resolution code or close code.</w:t>
      </w:r>
    </w:p>
    <w:p>
      <w:pPr>
        <w:pStyle w:val="ListParagraph"/>
        <w:numPr>
          <w:ilvl w:val="0"/>
          <w:numId w:val="2"/>
        </w:numPr>
        <w:spacing w:after="60"/>
      </w:pPr>
      <w:r>
        <w:rPr>
          <w:rFonts w:ascii="Calibri" w:cs="Calibri" w:eastAsia="Calibri" w:hAnsi="Calibri"/>
          <w:color w:val="1E293B"/>
          <w:sz w:val="22"/>
          <w:szCs w:val="22"/>
        </w:rPr>
        <w:t xml:space="preserve">Resolved-by user and resolved-by group.</w:t>
      </w:r>
    </w:p>
    <w:p>
      <w:pPr>
        <w:spacing w:after="120"/>
      </w:pPr>
      <w:r>
        <w:rPr>
          <w:rFonts w:ascii="Calibri" w:cs="Calibri" w:eastAsia="Calibri" w:hAnsi="Calibri"/>
          <w:color w:val="1E293B"/>
          <w:sz w:val="22"/>
          <w:szCs w:val="22"/>
        </w:rPr>
        <w:t xml:space="preserve">60 days is the floor. 90 days is better. Less than 60 days and you may miss seasonal patterns; more than 90 days and you start including data that's organizationally stale.</w:t>
      </w:r>
    </w:p>
    <w:p>
      <w:pPr>
        <w:pStyle w:val="Heading2"/>
        <w:spacing w:after="120" w:before="240"/>
      </w:pPr>
      <w:r>
        <w:rPr>
          <w:rFonts w:ascii="Calibri" w:cs="Calibri" w:eastAsia="Calibri" w:hAnsi="Calibri"/>
          <w:b/>
          <w:bCs/>
          <w:color w:val="0B1F3A"/>
          <w:sz w:val="26"/>
          <w:szCs w:val="26"/>
        </w:rPr>
        <w:t xml:space="preserve">2.2  The 5-pattern analysis</w:t>
      </w:r>
    </w:p>
    <w:p>
      <w:pPr>
        <w:spacing w:after="120"/>
      </w:pPr>
      <w:r>
        <w:rPr>
          <w:rFonts w:ascii="Calibri" w:cs="Calibri" w:eastAsia="Calibri" w:hAnsi="Calibri"/>
          <w:color w:val="1E293B"/>
          <w:sz w:val="22"/>
          <w:szCs w:val="22"/>
        </w:rPr>
        <w:t xml:space="preserve">Run the following pivots:</w:t>
      </w:r>
    </w:p>
    <w:p>
      <w:pPr>
        <w:pStyle w:val="ListParagraph"/>
        <w:numPr>
          <w:ilvl w:val="0"/>
          <w:numId w:val="3"/>
        </w:numPr>
        <w:spacing w:after="60"/>
      </w:pPr>
      <w:r>
        <w:rPr>
          <w:rFonts w:ascii="Calibri" w:cs="Calibri" w:eastAsia="Calibri" w:hAnsi="Calibri"/>
          <w:color w:val="1E293B"/>
          <w:sz w:val="22"/>
          <w:szCs w:val="22"/>
        </w:rPr>
        <w:t xml:space="preserve">Distinct count of category combinations actually used in the period.</w:t>
      </w:r>
    </w:p>
    <w:p>
      <w:pPr>
        <w:pStyle w:val="ListParagraph"/>
        <w:numPr>
          <w:ilvl w:val="0"/>
          <w:numId w:val="3"/>
        </w:numPr>
        <w:spacing w:after="60"/>
      </w:pPr>
      <w:r>
        <w:rPr>
          <w:rFonts w:ascii="Calibri" w:cs="Calibri" w:eastAsia="Calibri" w:hAnsi="Calibri"/>
          <w:color w:val="1E293B"/>
          <w:sz w:val="22"/>
          <w:szCs w:val="22"/>
        </w:rPr>
        <w:t xml:space="preserve">Distinct count of (category, assignment_group) tuples actually observed.</w:t>
      </w:r>
    </w:p>
    <w:p>
      <w:pPr>
        <w:pStyle w:val="ListParagraph"/>
        <w:numPr>
          <w:ilvl w:val="0"/>
          <w:numId w:val="3"/>
        </w:numPr>
        <w:spacing w:after="60"/>
      </w:pPr>
      <w:r>
        <w:rPr>
          <w:rFonts w:ascii="Calibri" w:cs="Calibri" w:eastAsia="Calibri" w:hAnsi="Calibri"/>
          <w:color w:val="1E293B"/>
          <w:sz w:val="22"/>
          <w:szCs w:val="22"/>
        </w:rPr>
        <w:t xml:space="preserve">For each assignment group, the top 5 most-frequent category combinations that route to it. These are the routing patterns.</w:t>
      </w:r>
    </w:p>
    <w:p>
      <w:pPr>
        <w:pStyle w:val="ListParagraph"/>
        <w:numPr>
          <w:ilvl w:val="0"/>
          <w:numId w:val="3"/>
        </w:numPr>
        <w:spacing w:after="60"/>
      </w:pPr>
      <w:r>
        <w:rPr>
          <w:rFonts w:ascii="Calibri" w:cs="Calibri" w:eastAsia="Calibri" w:hAnsi="Calibri"/>
          <w:color w:val="1E293B"/>
          <w:sz w:val="22"/>
          <w:szCs w:val="22"/>
        </w:rPr>
        <w:t xml:space="preserve">CMDB CI population rate (% of records with a CI). Below 30% is typical and tells you how thin the CMDB is today.</w:t>
      </w:r>
    </w:p>
    <w:p>
      <w:pPr>
        <w:pStyle w:val="ListParagraph"/>
        <w:numPr>
          <w:ilvl w:val="0"/>
          <w:numId w:val="3"/>
        </w:numPr>
        <w:spacing w:after="60"/>
      </w:pPr>
      <w:r>
        <w:rPr>
          <w:rFonts w:ascii="Calibri" w:cs="Calibri" w:eastAsia="Calibri" w:hAnsi="Calibri"/>
          <w:color w:val="1E293B"/>
          <w:sz w:val="22"/>
          <w:szCs w:val="22"/>
        </w:rPr>
        <w:t xml:space="preserve">Resolution code distribution. Are categories actually being used to drive resolution patterns, or is the resolution code where the real signal lives?</w:t>
      </w:r>
    </w:p>
    <w:p>
      <w:pPr>
        <w:spacing w:after="120"/>
      </w:pPr>
      <w:r>
        <w:rPr>
          <w:rFonts w:ascii="Calibri" w:cs="Calibri" w:eastAsia="Calibri" w:hAnsi="Calibri"/>
          <w:color w:val="1E293B"/>
          <w:sz w:val="22"/>
          <w:szCs w:val="22"/>
        </w:rPr>
        <w:t xml:space="preserve">The output is a one-page summary: "You have N category combinations. They produce M unique routing decisions (where M is typically 8–15). The 80/20 rule applies: 12 routing patterns capture 90%+ of records." That summary is your opening exhibit in Workshop 1.</w:t>
      </w:r>
    </w:p>
    <w:p>
      <w:pPr>
        <w:pStyle w:val="Heading2"/>
        <w:spacing w:after="120" w:before="240"/>
      </w:pPr>
      <w:r>
        <w:rPr>
          <w:rFonts w:ascii="Calibri" w:cs="Calibri" w:eastAsia="Calibri" w:hAnsi="Calibri"/>
          <w:b/>
          <w:bCs/>
          <w:color w:val="0B1F3A"/>
          <w:sz w:val="26"/>
          <w:szCs w:val="26"/>
        </w:rPr>
        <w:t xml:space="preserve">2.3  The reclassification exercise</w:t>
      </w:r>
    </w:p>
    <w:p>
      <w:pPr>
        <w:spacing w:after="120"/>
      </w:pPr>
      <w:r>
        <w:rPr>
          <w:rFonts w:ascii="Calibri" w:cs="Calibri" w:eastAsia="Calibri" w:hAnsi="Calibri"/>
          <w:color w:val="1E293B"/>
          <w:sz w:val="22"/>
          <w:szCs w:val="22"/>
        </w:rPr>
        <w:t xml:space="preserve">Now take the top 50 most-frequent category combinations and reclassify them under an OOTB-aligned target structure:</w:t>
      </w:r>
    </w:p>
    <w:p>
      <w:pPr>
        <w:pStyle w:val="ListParagraph"/>
        <w:numPr>
          <w:ilvl w:val="0"/>
          <w:numId w:val="2"/>
        </w:numPr>
        <w:spacing w:after="60"/>
      </w:pPr>
      <w:r>
        <w:rPr>
          <w:rFonts w:ascii="Calibri" w:cs="Calibri" w:eastAsia="Calibri" w:hAnsi="Calibri"/>
          <w:color w:val="1E293B"/>
          <w:sz w:val="22"/>
          <w:szCs w:val="22"/>
        </w:rPr>
        <w:t xml:space="preserve">Top-level: Hardware, Software, Network, Account/Access, How-Do-I, Other.</w:t>
      </w:r>
    </w:p>
    <w:p>
      <w:pPr>
        <w:pStyle w:val="ListParagraph"/>
        <w:numPr>
          <w:ilvl w:val="0"/>
          <w:numId w:val="2"/>
        </w:numPr>
        <w:spacing w:after="60"/>
      </w:pPr>
      <w:r>
        <w:rPr>
          <w:rFonts w:ascii="Calibri" w:cs="Calibri" w:eastAsia="Calibri" w:hAnsi="Calibri"/>
          <w:color w:val="1E293B"/>
          <w:sz w:val="22"/>
          <w:szCs w:val="22"/>
        </w:rPr>
        <w:t xml:space="preserve">Subcategory: 4–8 per top-level (Workstation, Server, Mobile under Hardware; Email, Productivity, Business App under Software; etc.).</w:t>
      </w:r>
    </w:p>
    <w:p>
      <w:pPr>
        <w:spacing w:after="120"/>
      </w:pPr>
      <w:r>
        <w:rPr>
          <w:rFonts w:ascii="Calibri" w:cs="Calibri" w:eastAsia="Calibri" w:hAnsi="Calibri"/>
          <w:color w:val="1E293B"/>
          <w:sz w:val="22"/>
          <w:szCs w:val="22"/>
        </w:rPr>
        <w:t xml:space="preserve">As you do this, three patterns will emerge:</w:t>
      </w:r>
    </w:p>
    <w:p>
      <w:pPr>
        <w:pStyle w:val="ListParagraph"/>
        <w:numPr>
          <w:ilvl w:val="0"/>
          <w:numId w:val="2"/>
        </w:numPr>
        <w:spacing w:after="60"/>
      </w:pPr>
      <w:r>
        <w:rPr>
          <w:rFonts w:ascii="Calibri" w:cs="Calibri" w:eastAsia="Calibri" w:hAnsi="Calibri"/>
          <w:color w:val="1E293B"/>
          <w:sz w:val="22"/>
          <w:szCs w:val="22"/>
        </w:rPr>
        <w:t xml:space="preserve">Most legacy categories collapse cleanly into the new structure.</w:t>
      </w:r>
    </w:p>
    <w:p>
      <w:pPr>
        <w:pStyle w:val="ListParagraph"/>
        <w:numPr>
          <w:ilvl w:val="0"/>
          <w:numId w:val="2"/>
        </w:numPr>
        <w:spacing w:after="60"/>
      </w:pPr>
      <w:r>
        <w:rPr>
          <w:rFonts w:ascii="Calibri" w:cs="Calibri" w:eastAsia="Calibri" w:hAnsi="Calibri"/>
          <w:color w:val="1E293B"/>
          <w:sz w:val="22"/>
          <w:szCs w:val="22"/>
        </w:rPr>
        <w:t xml:space="preserve">A handful of legacy categories are actually CIs in disguise ("Outlook," "Salesforce," "the VPN") — these become CSDM Application Service references, not categories.</w:t>
      </w:r>
    </w:p>
    <w:p>
      <w:pPr>
        <w:pStyle w:val="ListParagraph"/>
        <w:numPr>
          <w:ilvl w:val="0"/>
          <w:numId w:val="2"/>
        </w:numPr>
        <w:spacing w:after="60"/>
      </w:pPr>
      <w:r>
        <w:rPr>
          <w:rFonts w:ascii="Calibri" w:cs="Calibri" w:eastAsia="Calibri" w:hAnsi="Calibri"/>
          <w:color w:val="1E293B"/>
          <w:sz w:val="22"/>
          <w:szCs w:val="22"/>
        </w:rPr>
        <w:t xml:space="preserve">A few legacy categories are actually resolution outcomes ("Permissions Issue," "Hardware Failure") — these belong in the close code, not the category.</w:t>
      </w:r>
    </w:p>
    <w:p>
      <w:pPr>
        <w:spacing w:after="120"/>
      </w:pPr>
      <w:r>
        <w:rPr>
          <w:rFonts w:ascii="Calibri" w:cs="Calibri" w:eastAsia="Calibri" w:hAnsi="Calibri"/>
          <w:color w:val="1E293B"/>
          <w:sz w:val="22"/>
          <w:szCs w:val="22"/>
        </w:rPr>
        <w:t xml:space="preserve">Document the mapping — it becomes both your migration table (Section 7) and your demonstration material in Workshops 1 and 3.</w:t>
      </w:r>
    </w:p>
    <w:p>
      <w:r>
        <w:br w:type="page"/>
      </w:r>
    </w:p>
    <w:p>
      <w:pPr>
        <w:pStyle w:val="Heading1"/>
        <w:spacing w:after="180" w:before="360"/>
      </w:pPr>
      <w:r>
        <w:rPr>
          <w:rFonts w:ascii="Calibri" w:cs="Calibri" w:eastAsia="Calibri" w:hAnsi="Calibri"/>
          <w:b/>
          <w:bCs/>
          <w:color w:val="0B1F3A"/>
          <w:sz w:val="32"/>
          <w:szCs w:val="32"/>
        </w:rPr>
        <w:t xml:space="preserve">3.  The Target State</w:t>
      </w:r>
    </w:p>
    <w:p>
      <w:pPr>
        <w:pStyle w:val="Heading2"/>
        <w:spacing w:after="120" w:before="240"/>
      </w:pPr>
      <w:r>
        <w:rPr>
          <w:rFonts w:ascii="Calibri" w:cs="Calibri" w:eastAsia="Calibri" w:hAnsi="Calibri"/>
          <w:b/>
          <w:bCs/>
          <w:color w:val="0B1F3A"/>
          <w:sz w:val="26"/>
          <w:szCs w:val="26"/>
        </w:rPr>
        <w:t xml:space="preserve">3.1  The canonical OOTB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4500"/>
        <w:gridCol w:w="288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Top-Level Category</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Typical Subcategories (4–8 each)</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Notes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Hardware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Workstation, Laptop, Mobile, Server, Printer, Network Device, Other Hardware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Physical IT assets the user touches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Software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Email, Productivity (M365, Google), Business Apps, Operating System, Browser, Other Software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Software is generic — applications are CIs, not subcategories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Network</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VPN, Wi-Fi, Connectivity, DNS, Bandwidth, Other Network</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Network function — specific systems are CIs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Account / Access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Account Lockout, Password Reset, Permissions, Group Membership, MFA, Other Access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Access pattern — specific systems are CIs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How-Do-I</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Email How-To, App How-To, Hardware How-To, General Inquiry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Knowledge-seeking; usually KB deflection candidate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Other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Inquiry, Feedback, Out-of-Scope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Catch-all; should be &lt; 5% of volume</w:t>
            </w:r>
          </w:p>
        </w:tc>
      </w:tr>
    </w:tbl>
    <w:p>
      <w:pPr>
        <w:spacing w:after="120"/>
      </w:pPr>
      <w:r>
        <w:rPr>
          <w:rFonts w:ascii="Calibri" w:cs="Calibri" w:eastAsia="Calibri" w:hAnsi="Calibri"/>
          <w:color w:val="1E293B"/>
          <w:sz w:val="22"/>
          <w:szCs w:val="22"/>
        </w:rPr>
        <w:t xml:space="preserve">Total leaves: 32 in the example above. Customers come in expecting hundreds; they leave with about 35. The compression ratio is intentional and is the most-asked-about feature of the new model.</w:t>
      </w:r>
    </w:p>
    <w:p>
      <w:pPr>
        <w:pStyle w:val="Heading2"/>
        <w:spacing w:after="120" w:before="240"/>
      </w:pPr>
      <w:r>
        <w:rPr>
          <w:rFonts w:ascii="Calibri" w:cs="Calibri" w:eastAsia="Calibri" w:hAnsi="Calibri"/>
          <w:b/>
          <w:bCs/>
          <w:color w:val="0B1F3A"/>
          <w:sz w:val="26"/>
          <w:szCs w:val="26"/>
        </w:rPr>
        <w:t xml:space="preserve">3.2  Three places, three jobs</w:t>
      </w:r>
    </w:p>
    <w:p>
      <w:pPr>
        <w:spacing w:after="120"/>
      </w:pPr>
      <w:r>
        <w:rPr>
          <w:rFonts w:ascii="Calibri" w:cs="Calibri" w:eastAsia="Calibri" w:hAnsi="Calibri"/>
          <w:color w:val="1E293B"/>
          <w:sz w:val="22"/>
          <w:szCs w:val="22"/>
        </w:rPr>
        <w:t xml:space="preserve">Once the target structure is set, the conversation shifts to where the legacy stack's three jobs go in the new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60"/>
        <w:gridCol w:w="378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Legacy Job</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Where it Lives in OOTB</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Why</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Categorization ("what kind of issue?")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Category and subcategory fields (the cleaned-up dropdown)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What categorization is for: trending, AI training, pattern detection.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Identification ("which app/service/system?")</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 CI on the ticket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CSDM holds the relational service model; CIs are the durable identifier.</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Routing ("which team?")</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Assignment Group + Assignment Rules referencing CIs and Services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Routing follows the CI's service ownership, not the category leaf.</w:t>
            </w:r>
          </w:p>
        </w:tc>
      </w:tr>
    </w:tbl>
    <w:p>
      <w:pPr>
        <w:spacing w:after="120"/>
      </w:pPr>
      <w:r>
        <w:rPr>
          <w:rFonts w:ascii="Calibri" w:cs="Calibri" w:eastAsia="Calibri" w:hAnsi="Calibri"/>
          <w:color w:val="1E293B"/>
          <w:sz w:val="22"/>
          <w:szCs w:val="22"/>
        </w:rPr>
        <w:t xml:space="preserve">This three-place model is the conceptual core of the workshop sequence. Customers who internalize it stop asking where things go in the dropdown and start asking what the CI on the ticket should reference.</w:t>
      </w:r>
    </w:p>
    <w:p>
      <w:pPr>
        <w:pStyle w:val="Heading2"/>
        <w:spacing w:after="120" w:before="240"/>
      </w:pPr>
      <w:r>
        <w:rPr>
          <w:rFonts w:ascii="Calibri" w:cs="Calibri" w:eastAsia="Calibri" w:hAnsi="Calibri"/>
          <w:b/>
          <w:bCs/>
          <w:color w:val="0B1F3A"/>
          <w:sz w:val="26"/>
          <w:szCs w:val="26"/>
        </w:rPr>
        <w:t xml:space="preserve">3.3  What categories ARE for, in the new model</w:t>
      </w:r>
    </w:p>
    <w:p>
      <w:pPr>
        <w:pStyle w:val="ListParagraph"/>
        <w:numPr>
          <w:ilvl w:val="0"/>
          <w:numId w:val="2"/>
        </w:numPr>
        <w:spacing w:after="60"/>
      </w:pPr>
      <w:r>
        <w:rPr>
          <w:rFonts w:ascii="Calibri" w:cs="Calibri" w:eastAsia="Calibri" w:hAnsi="Calibri"/>
          <w:color w:val="1E293B"/>
          <w:sz w:val="22"/>
          <w:szCs w:val="22"/>
        </w:rPr>
        <w:t xml:space="preserve">Trending and reporting — "how much hardware vs. software volume this quarter?"</w:t>
      </w:r>
    </w:p>
    <w:p>
      <w:pPr>
        <w:pStyle w:val="ListParagraph"/>
        <w:numPr>
          <w:ilvl w:val="0"/>
          <w:numId w:val="2"/>
        </w:numPr>
        <w:spacing w:after="60"/>
      </w:pPr>
      <w:r>
        <w:rPr>
          <w:rFonts w:ascii="Calibri" w:cs="Calibri" w:eastAsia="Calibri" w:hAnsi="Calibri"/>
          <w:color w:val="1E293B"/>
          <w:sz w:val="22"/>
          <w:szCs w:val="22"/>
        </w:rPr>
        <w:t xml:space="preserve">AI training data — Predictive Intelligence learns category-to-resolution patterns and gets better with time.</w:t>
      </w:r>
    </w:p>
    <w:p>
      <w:pPr>
        <w:pStyle w:val="ListParagraph"/>
        <w:numPr>
          <w:ilvl w:val="0"/>
          <w:numId w:val="2"/>
        </w:numPr>
        <w:spacing w:after="60"/>
      </w:pPr>
      <w:r>
        <w:rPr>
          <w:rFonts w:ascii="Calibri" w:cs="Calibri" w:eastAsia="Calibri" w:hAnsi="Calibri"/>
          <w:color w:val="1E293B"/>
          <w:sz w:val="22"/>
          <w:szCs w:val="22"/>
        </w:rPr>
        <w:t xml:space="preserve">Pattern detection — recurring incidents in a category trigger Problem candidates.</w:t>
      </w:r>
    </w:p>
    <w:p>
      <w:pPr>
        <w:pStyle w:val="ListParagraph"/>
        <w:numPr>
          <w:ilvl w:val="0"/>
          <w:numId w:val="2"/>
        </w:numPr>
        <w:spacing w:after="60"/>
      </w:pPr>
      <w:r>
        <w:rPr>
          <w:rFonts w:ascii="Calibri" w:cs="Calibri" w:eastAsia="Calibri" w:hAnsi="Calibri"/>
          <w:color w:val="1E293B"/>
          <w:sz w:val="22"/>
          <w:szCs w:val="22"/>
        </w:rPr>
        <w:t xml:space="preserve">First-line agent triage hint — a clean dropdown is faster to pick than a 4-level cascade.</w:t>
      </w:r>
    </w:p>
    <w:p>
      <w:pPr>
        <w:spacing w:after="120"/>
      </w:pPr>
      <w:r>
        <w:rPr>
          <w:rFonts w:ascii="Calibri" w:cs="Calibri" w:eastAsia="Calibri" w:hAnsi="Calibri"/>
          <w:color w:val="1E293B"/>
          <w:sz w:val="22"/>
          <w:szCs w:val="22"/>
        </w:rPr>
        <w:t xml:space="preserve">Notice what is NOT on this list: routing, SLA binding, CI identification, application recognition. Those move to the CMDB and Assignment Rules where they belong.</w:t>
      </w:r>
    </w:p>
    <w:p>
      <w:r>
        <w:br w:type="page"/>
      </w:r>
    </w:p>
    <w:p>
      <w:pPr>
        <w:pStyle w:val="Heading1"/>
        <w:spacing w:after="180" w:before="360"/>
      </w:pPr>
      <w:r>
        <w:rPr>
          <w:rFonts w:ascii="Calibri" w:cs="Calibri" w:eastAsia="Calibri" w:hAnsi="Calibri"/>
          <w:b/>
          <w:bCs/>
          <w:color w:val="0B1F3A"/>
          <w:sz w:val="32"/>
          <w:szCs w:val="32"/>
        </w:rPr>
        <w:t xml:space="preserve">4.  The Reduction Methodology — From 375 to 35</w:t>
      </w:r>
    </w:p>
    <w:p>
      <w:pPr>
        <w:pStyle w:val="Heading2"/>
        <w:spacing w:after="120" w:before="240"/>
      </w:pPr>
      <w:r>
        <w:rPr>
          <w:rFonts w:ascii="Calibri" w:cs="Calibri" w:eastAsia="Calibri" w:hAnsi="Calibri"/>
          <w:b/>
          <w:bCs/>
          <w:color w:val="0B1F3A"/>
          <w:sz w:val="26"/>
          <w:szCs w:val="26"/>
        </w:rPr>
        <w:t xml:space="preserve">4.1  The collapse algorithm</w:t>
      </w:r>
    </w:p>
    <w:p>
      <w:pPr>
        <w:spacing w:after="120"/>
      </w:pPr>
      <w:r>
        <w:rPr>
          <w:rFonts w:ascii="Calibri" w:cs="Calibri" w:eastAsia="Calibri" w:hAnsi="Calibri"/>
          <w:color w:val="1E293B"/>
          <w:sz w:val="22"/>
          <w:szCs w:val="22"/>
        </w:rPr>
        <w:t xml:space="preserve">Apply this in order. Each step typically eliminates 60–80% of remaining items.</w:t>
      </w:r>
    </w:p>
    <w:p>
      <w:pPr>
        <w:pStyle w:val="ListParagraph"/>
        <w:numPr>
          <w:ilvl w:val="0"/>
          <w:numId w:val="3"/>
        </w:numPr>
        <w:spacing w:after="60"/>
      </w:pPr>
      <w:r>
        <w:rPr>
          <w:rFonts w:ascii="Calibri" w:cs="Calibri" w:eastAsia="Calibri" w:hAnsi="Calibri"/>
          <w:color w:val="1E293B"/>
          <w:sz w:val="22"/>
          <w:szCs w:val="22"/>
        </w:rPr>
        <w:t xml:space="preserve">Identify CI-disguised entries. Any leaf that names a specific application, system, or vendor product (e.g., "Outlook," "Salesforce," "Cisco AnyConnect") becomes a CMDB Application Service reference. Remove from the category tree.</w:t>
      </w:r>
    </w:p>
    <w:p>
      <w:pPr>
        <w:pStyle w:val="ListParagraph"/>
        <w:numPr>
          <w:ilvl w:val="0"/>
          <w:numId w:val="3"/>
        </w:numPr>
        <w:spacing w:after="60"/>
      </w:pPr>
      <w:r>
        <w:rPr>
          <w:rFonts w:ascii="Calibri" w:cs="Calibri" w:eastAsia="Calibri" w:hAnsi="Calibri"/>
          <w:color w:val="1E293B"/>
          <w:sz w:val="22"/>
          <w:szCs w:val="22"/>
        </w:rPr>
        <w:t xml:space="preserve">Identify resolution-disguised entries. Any leaf that describes the resolution outcome (e.g., "Hardware Failure → Replaced," "Permissions Issue → Granted") moves to the close code or resolution category, not the categorization.</w:t>
      </w:r>
    </w:p>
    <w:p>
      <w:pPr>
        <w:pStyle w:val="ListParagraph"/>
        <w:numPr>
          <w:ilvl w:val="0"/>
          <w:numId w:val="3"/>
        </w:numPr>
        <w:spacing w:after="60"/>
      </w:pPr>
      <w:r>
        <w:rPr>
          <w:rFonts w:ascii="Calibri" w:cs="Calibri" w:eastAsia="Calibri" w:hAnsi="Calibri"/>
          <w:color w:val="1E293B"/>
          <w:sz w:val="22"/>
          <w:szCs w:val="22"/>
        </w:rPr>
        <w:t xml:space="preserve">Identify duplicate paths. Multiple legacy paths that resolved to the same routing decision (e.g., "Software → Microsoft → Outlook → Crashes" and "Hardware → Workstation → Software → Outlook") collapse to a single OOTB path (Software → Email).</w:t>
      </w:r>
    </w:p>
    <w:p>
      <w:pPr>
        <w:pStyle w:val="ListParagraph"/>
        <w:numPr>
          <w:ilvl w:val="0"/>
          <w:numId w:val="3"/>
        </w:numPr>
        <w:spacing w:after="60"/>
      </w:pPr>
      <w:r>
        <w:rPr>
          <w:rFonts w:ascii="Calibri" w:cs="Calibri" w:eastAsia="Calibri" w:hAnsi="Calibri"/>
          <w:color w:val="1E293B"/>
          <w:sz w:val="22"/>
          <w:szCs w:val="22"/>
        </w:rPr>
        <w:t xml:space="preserve">Identify zero-volume entries. Any leaf with fewer than 5 records in 60 days is a candidate for retirement. The legacy stack accumulates entries from one-off requests; clean them out.</w:t>
      </w:r>
    </w:p>
    <w:p>
      <w:pPr>
        <w:pStyle w:val="ListParagraph"/>
        <w:numPr>
          <w:ilvl w:val="0"/>
          <w:numId w:val="3"/>
        </w:numPr>
        <w:spacing w:after="60"/>
      </w:pPr>
      <w:r>
        <w:rPr>
          <w:rFonts w:ascii="Calibri" w:cs="Calibri" w:eastAsia="Calibri" w:hAnsi="Calibri"/>
          <w:color w:val="1E293B"/>
          <w:sz w:val="22"/>
          <w:szCs w:val="22"/>
        </w:rPr>
        <w:t xml:space="preserve">Re-bucket the survivors. Map remaining entries to the canonical OOTB structure (Section 3.1). Most fit cleanly; the rare exception goes to the Governance Board.</w:t>
      </w:r>
    </w:p>
    <w:p>
      <w:pPr>
        <w:pStyle w:val="Heading2"/>
        <w:spacing w:after="120" w:before="240"/>
      </w:pPr>
      <w:r>
        <w:rPr>
          <w:rFonts w:ascii="Calibri" w:cs="Calibri" w:eastAsia="Calibri" w:hAnsi="Calibri"/>
          <w:b/>
          <w:bCs/>
          <w:color w:val="0B1F3A"/>
          <w:sz w:val="26"/>
          <w:szCs w:val="26"/>
        </w:rPr>
        <w:t xml:space="preserve">4.2  The math, illustrated</w:t>
      </w:r>
    </w:p>
    <w:p>
      <w:pPr>
        <w:spacing w:after="120"/>
      </w:pPr>
      <w:r>
        <w:rPr>
          <w:rFonts w:ascii="Calibri" w:cs="Calibri" w:eastAsia="Calibri" w:hAnsi="Calibri"/>
          <w:color w:val="1E293B"/>
          <w:sz w:val="22"/>
          <w:szCs w:val="22"/>
        </w:rPr>
        <w:t xml:space="preserve">Real reduction example from a recent engagement (anonymized):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43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Stage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Count of Leaves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Was Removed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Legacy starting point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412</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Step 1 (CI-disguised)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248</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164 leaves were applications/systems → moved to CMDB</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Step 2 (resolution-disguised)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189</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59 leaves were close-code values → moved to resolution_code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Step 3 (duplicate paths)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97</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92 leaves were synonyms or duplicate routes → collapsed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Step 4 (zero-volume)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61</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36 leaves had &lt; 5 records in 60 days → retired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Step 5 (re-bucket to OOTB)</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33</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Final OOTB-aligned structure</w:t>
            </w:r>
          </w:p>
        </w:tc>
      </w:tr>
    </w:tbl>
    <w:p>
      <w:pPr>
        <w:spacing w:after="120"/>
      </w:pPr>
      <w:r>
        <w:rPr>
          <w:rFonts w:ascii="Calibri" w:cs="Calibri" w:eastAsia="Calibri" w:hAnsi="Calibri"/>
          <w:color w:val="1E293B"/>
          <w:sz w:val="22"/>
          <w:szCs w:val="22"/>
        </w:rPr>
        <w:t xml:space="preserve">412 to 33 — a 92% reduction. None of the operational capability was lost; it moved to the right places.</w:t>
      </w:r>
    </w:p>
    <w:p>
      <w:pPr>
        <w:pStyle w:val="Heading2"/>
        <w:spacing w:after="120" w:before="240"/>
      </w:pPr>
      <w:r>
        <w:rPr>
          <w:rFonts w:ascii="Calibri" w:cs="Calibri" w:eastAsia="Calibri" w:hAnsi="Calibri"/>
          <w:b/>
          <w:bCs/>
          <w:color w:val="0B1F3A"/>
          <w:sz w:val="26"/>
          <w:szCs w:val="26"/>
        </w:rPr>
        <w:t xml:space="preserve">4.3  Edge cases and how to handle them</w:t>
      </w:r>
    </w:p>
    <w:p>
      <w:pPr>
        <w:pStyle w:val="ListParagraph"/>
        <w:numPr>
          <w:ilvl w:val="0"/>
          <w:numId w:val="2"/>
        </w:numPr>
        <w:spacing w:after="60"/>
      </w:pPr>
      <w:r>
        <w:rPr>
          <w:rFonts w:ascii="Calibri" w:cs="Calibri" w:eastAsia="Calibri" w:hAnsi="Calibri"/>
          <w:b/>
          <w:bCs/>
          <w:color w:val="1E293B"/>
          <w:sz w:val="22"/>
          <w:szCs w:val="22"/>
        </w:rPr>
        <w:t xml:space="preserve">Customer-specific compliance categories: </w:t>
      </w:r>
      <w:r>
        <w:rPr>
          <w:rFonts w:ascii="Calibri" w:cs="Calibri" w:eastAsia="Calibri" w:hAnsi="Calibri"/>
          <w:color w:val="1E293B"/>
          <w:sz w:val="22"/>
          <w:szCs w:val="22"/>
        </w:rPr>
        <w:t xml:space="preserve">If a regulated industry requires specific incident categorization for audit (e.g., HIPAA categories), keep them — but as a separate audit_category field, not as primary category. This preserves audit reporting without bloating triage.</w:t>
      </w:r>
    </w:p>
    <w:p>
      <w:pPr>
        <w:pStyle w:val="ListParagraph"/>
        <w:numPr>
          <w:ilvl w:val="0"/>
          <w:numId w:val="2"/>
        </w:numPr>
        <w:spacing w:after="60"/>
      </w:pPr>
      <w:r>
        <w:rPr>
          <w:rFonts w:ascii="Calibri" w:cs="Calibri" w:eastAsia="Calibri" w:hAnsi="Calibri"/>
          <w:b/>
          <w:bCs/>
          <w:color w:val="1E293B"/>
          <w:sz w:val="22"/>
          <w:szCs w:val="22"/>
        </w:rPr>
        <w:t xml:space="preserve">Geography-specific categories: </w:t>
      </w:r>
      <w:r>
        <w:rPr>
          <w:rFonts w:ascii="Calibri" w:cs="Calibri" w:eastAsia="Calibri" w:hAnsi="Calibri"/>
          <w:color w:val="1E293B"/>
          <w:sz w:val="22"/>
          <w:szCs w:val="22"/>
        </w:rPr>
        <w:t xml:space="preserve">Almost always wrong. Geography belongs in location, not category. Migrate.</w:t>
      </w:r>
    </w:p>
    <w:p>
      <w:pPr>
        <w:pStyle w:val="ListParagraph"/>
        <w:numPr>
          <w:ilvl w:val="0"/>
          <w:numId w:val="2"/>
        </w:numPr>
        <w:spacing w:after="60"/>
      </w:pPr>
      <w:r>
        <w:rPr>
          <w:rFonts w:ascii="Calibri" w:cs="Calibri" w:eastAsia="Calibri" w:hAnsi="Calibri"/>
          <w:b/>
          <w:bCs/>
          <w:color w:val="1E293B"/>
          <w:sz w:val="22"/>
          <w:szCs w:val="22"/>
        </w:rPr>
        <w:t xml:space="preserve">Department-specific categories: </w:t>
      </w:r>
      <w:r>
        <w:rPr>
          <w:rFonts w:ascii="Calibri" w:cs="Calibri" w:eastAsia="Calibri" w:hAnsi="Calibri"/>
          <w:color w:val="1E293B"/>
          <w:sz w:val="22"/>
          <w:szCs w:val="22"/>
        </w:rPr>
        <w:t xml:space="preserve">Almost always wrong. Department belongs in caller's profile (sys_user.department), not category. Migrate.</w:t>
      </w:r>
    </w:p>
    <w:p>
      <w:pPr>
        <w:pStyle w:val="ListParagraph"/>
        <w:numPr>
          <w:ilvl w:val="0"/>
          <w:numId w:val="2"/>
        </w:numPr>
        <w:spacing w:after="60"/>
      </w:pPr>
      <w:r>
        <w:rPr>
          <w:rFonts w:ascii="Calibri" w:cs="Calibri" w:eastAsia="Calibri" w:hAnsi="Calibri"/>
          <w:b/>
          <w:bCs/>
          <w:color w:val="1E293B"/>
          <w:sz w:val="22"/>
          <w:szCs w:val="22"/>
        </w:rPr>
        <w:t xml:space="preserve">Project-specific categories: </w:t>
      </w:r>
      <w:r>
        <w:rPr>
          <w:rFonts w:ascii="Calibri" w:cs="Calibri" w:eastAsia="Calibri" w:hAnsi="Calibri"/>
          <w:color w:val="1E293B"/>
          <w:sz w:val="22"/>
          <w:szCs w:val="22"/>
        </w:rPr>
        <w:t xml:space="preserve">Project belongs in a project field or business_service, not category. Migrate.</w:t>
      </w:r>
    </w:p>
    <w:p>
      <w:pPr>
        <w:pStyle w:val="ListParagraph"/>
        <w:numPr>
          <w:ilvl w:val="0"/>
          <w:numId w:val="2"/>
        </w:numPr>
        <w:spacing w:after="60"/>
      </w:pPr>
      <w:r>
        <w:rPr>
          <w:rFonts w:ascii="Calibri" w:cs="Calibri" w:eastAsia="Calibri" w:hAnsi="Calibri"/>
          <w:b/>
          <w:bCs/>
          <w:color w:val="1E293B"/>
          <w:sz w:val="22"/>
          <w:szCs w:val="22"/>
        </w:rPr>
        <w:t xml:space="preserve">"We need this category for SLA": </w:t>
      </w:r>
      <w:r>
        <w:rPr>
          <w:rFonts w:ascii="Calibri" w:cs="Calibri" w:eastAsia="Calibri" w:hAnsi="Calibri"/>
          <w:color w:val="1E293B"/>
          <w:sz w:val="22"/>
          <w:szCs w:val="22"/>
        </w:rPr>
        <w:t xml:space="preserve">SLA belongs on priority + CI criticality, not category. The category-driven SLA is a workaround for missing CI relationships. Migrate.</w:t>
      </w:r>
    </w:p>
    <w:p>
      <w:r>
        <w:br w:type="page"/>
      </w:r>
    </w:p>
    <w:p>
      <w:pPr>
        <w:pStyle w:val="Heading1"/>
        <w:spacing w:after="180" w:before="360"/>
      </w:pPr>
      <w:r>
        <w:rPr>
          <w:rFonts w:ascii="Calibri" w:cs="Calibri" w:eastAsia="Calibri" w:hAnsi="Calibri"/>
          <w:b/>
          <w:bCs/>
          <w:color w:val="0B1F3A"/>
          <w:sz w:val="32"/>
          <w:szCs w:val="32"/>
        </w:rPr>
        <w:t xml:space="preserve">5.  Educating the Customer — The Four-Workshop Sequence</w:t>
      </w:r>
    </w:p>
    <w:p>
      <w:pPr>
        <w:spacing w:after="120"/>
      </w:pPr>
      <w:r>
        <w:rPr>
          <w:rFonts w:ascii="Calibri" w:cs="Calibri" w:eastAsia="Calibri" w:hAnsi="Calibri"/>
          <w:color w:val="1E293B"/>
          <w:sz w:val="22"/>
          <w:szCs w:val="22"/>
        </w:rPr>
        <w:t xml:space="preserve">These four workshops, in order, are the pedagogical mechanism that takes the customer from "we need our categories" to "OK, this makes sense." Each workshop is 90 minutes; they typically run across 2–3 weeks.</w:t>
      </w:r>
    </w:p>
    <w:p>
      <w:pPr>
        <w:pStyle w:val="Heading2"/>
        <w:spacing w:after="120" w:before="240"/>
      </w:pPr>
      <w:r>
        <w:rPr>
          <w:rFonts w:ascii="Calibri" w:cs="Calibri" w:eastAsia="Calibri" w:hAnsi="Calibri"/>
          <w:b/>
          <w:bCs/>
          <w:color w:val="0B1F3A"/>
          <w:sz w:val="26"/>
          <w:szCs w:val="26"/>
        </w:rPr>
        <w:t xml:space="preserve">5.1  Workshop 1 — "What does your category stack actually do?"</w:t>
      </w:r>
    </w:p>
    <w:p>
      <w:pPr>
        <w:spacing w:after="120"/>
      </w:pPr>
      <w:r>
        <w:rPr>
          <w:rFonts w:ascii="Calibri" w:cs="Calibri" w:eastAsia="Calibri" w:hAnsi="Calibri"/>
          <w:b/>
          <w:bCs/>
          <w:color w:val="1E293B"/>
          <w:sz w:val="22"/>
          <w:szCs w:val="22"/>
        </w:rPr>
        <w:t xml:space="preserve">Goal: </w:t>
      </w:r>
      <w:r>
        <w:rPr>
          <w:rFonts w:ascii="Calibri" w:cs="Calibri" w:eastAsia="Calibri" w:hAnsi="Calibri"/>
          <w:color w:val="1E293B"/>
          <w:sz w:val="22"/>
          <w:szCs w:val="22"/>
        </w:rPr>
        <w:t xml:space="preserve">The customer arrives at the realization themselves that the stack is exponentially more granular than the operational reality it serves.</w:t>
      </w:r>
    </w:p>
    <w:p>
      <w:pPr>
        <w:spacing w:after="120"/>
      </w:pPr>
      <w:r>
        <w:rPr>
          <w:rFonts w:ascii="Calibri" w:cs="Calibri" w:eastAsia="Calibri" w:hAnsi="Calibri"/>
          <w:b/>
          <w:bCs/>
          <w:color w:val="1E293B"/>
          <w:sz w:val="22"/>
          <w:szCs w:val="22"/>
        </w:rPr>
        <w:t xml:space="preserve">Materials: </w:t>
      </w:r>
      <w:r>
        <w:rPr>
          <w:rFonts w:ascii="Calibri" w:cs="Calibri" w:eastAsia="Calibri" w:hAnsi="Calibri"/>
          <w:color w:val="1E293B"/>
          <w:sz w:val="22"/>
          <w:szCs w:val="22"/>
        </w:rPr>
        <w:t xml:space="preserve">Your one-page analysis from Section 2.2. The top-50 reclassification mapping from Section 2.3. 5–10 anonymized real incidents from their data.</w:t>
      </w:r>
    </w:p>
    <w:p>
      <w:pPr>
        <w:spacing w:after="120"/>
      </w:pPr>
      <w:r>
        <w:rPr>
          <w:rFonts w:ascii="Calibri" w:cs="Calibri" w:eastAsia="Calibri" w:hAnsi="Calibri"/>
          <w:b/>
          <w:bCs/>
          <w:color w:val="1E293B"/>
          <w:sz w:val="22"/>
          <w:szCs w:val="22"/>
        </w:rPr>
        <w:t xml:space="preserve">Flow:</w:t>
      </w:r>
    </w:p>
    <w:p>
      <w:pPr>
        <w:pStyle w:val="ListParagraph"/>
        <w:numPr>
          <w:ilvl w:val="0"/>
          <w:numId w:val="3"/>
        </w:numPr>
        <w:spacing w:after="60"/>
      </w:pPr>
      <w:r>
        <w:rPr>
          <w:rFonts w:ascii="Calibri" w:cs="Calibri" w:eastAsia="Calibri" w:hAnsi="Calibri"/>
          <w:color w:val="1E293B"/>
          <w:sz w:val="22"/>
          <w:szCs w:val="22"/>
        </w:rPr>
        <w:t xml:space="preserve">Open with: "Before we talk about the new model, I want to understand what the current model is doing. Let's look at your last 60 days."</w:t>
      </w:r>
    </w:p>
    <w:p>
      <w:pPr>
        <w:pStyle w:val="ListParagraph"/>
        <w:numPr>
          <w:ilvl w:val="0"/>
          <w:numId w:val="3"/>
        </w:numPr>
        <w:spacing w:after="60"/>
      </w:pPr>
      <w:r>
        <w:rPr>
          <w:rFonts w:ascii="Calibri" w:cs="Calibri" w:eastAsia="Calibri" w:hAnsi="Calibri"/>
          <w:color w:val="1E293B"/>
          <w:sz w:val="22"/>
          <w:szCs w:val="22"/>
        </w:rPr>
        <w:t xml:space="preserve">Show the analysis: 412 unique category combinations, 12 distinct routing patterns. Pause. Let the room sit with that for a moment.</w:t>
      </w:r>
    </w:p>
    <w:p>
      <w:pPr>
        <w:pStyle w:val="ListParagraph"/>
        <w:numPr>
          <w:ilvl w:val="0"/>
          <w:numId w:val="3"/>
        </w:numPr>
        <w:spacing w:after="60"/>
      </w:pPr>
      <w:r>
        <w:rPr>
          <w:rFonts w:ascii="Calibri" w:cs="Calibri" w:eastAsia="Calibri" w:hAnsi="Calibri"/>
          <w:color w:val="1E293B"/>
          <w:sz w:val="22"/>
          <w:szCs w:val="22"/>
        </w:rPr>
        <w:t xml:space="preserve">Walk through 5–10 sample incidents. For each one, ask: "What category was selected? What group did it route to? Could a simpler category have produced the same routing?"</w:t>
      </w:r>
    </w:p>
    <w:p>
      <w:pPr>
        <w:pStyle w:val="ListParagraph"/>
        <w:numPr>
          <w:ilvl w:val="0"/>
          <w:numId w:val="3"/>
        </w:numPr>
        <w:spacing w:after="60"/>
      </w:pPr>
      <w:r>
        <w:rPr>
          <w:rFonts w:ascii="Calibri" w:cs="Calibri" w:eastAsia="Calibri" w:hAnsi="Calibri"/>
          <w:color w:val="1E293B"/>
          <w:sz w:val="22"/>
          <w:szCs w:val="22"/>
        </w:rPr>
        <w:t xml:space="preserve">Surface the three jobs (Section 1.1). "Your category stack has been doing categorization, identification, and routing all at once because the platform didn't have a CMDB to do the other two. Now it does."</w:t>
      </w:r>
    </w:p>
    <w:p>
      <w:pPr>
        <w:pStyle w:val="ListParagraph"/>
        <w:numPr>
          <w:ilvl w:val="0"/>
          <w:numId w:val="3"/>
        </w:numPr>
        <w:spacing w:after="60"/>
      </w:pPr>
      <w:r>
        <w:rPr>
          <w:rFonts w:ascii="Calibri" w:cs="Calibri" w:eastAsia="Calibri" w:hAnsi="Calibri"/>
          <w:color w:val="1E293B"/>
          <w:sz w:val="22"/>
          <w:szCs w:val="22"/>
        </w:rPr>
        <w:t xml:space="preserve">Land: "Categorization can return to being categorization. The CMDB will hold what the issue is about. Assignment rules will route based on the CI's service ownership."</w:t>
      </w:r>
    </w:p>
    <w:p>
      <w:pPr>
        <w:spacing w:after="120"/>
      </w:pPr>
      <w:r>
        <w:rPr>
          <w:rFonts w:ascii="Calibri" w:cs="Calibri" w:eastAsia="Calibri" w:hAnsi="Calibri"/>
          <w:b/>
          <w:bCs/>
          <w:color w:val="1E293B"/>
          <w:sz w:val="22"/>
          <w:szCs w:val="22"/>
        </w:rPr>
        <w:t xml:space="preserve">What "good" looks like at the end of Workshop 1: </w:t>
      </w:r>
      <w:r>
        <w:rPr>
          <w:rFonts w:ascii="Calibri" w:cs="Calibri" w:eastAsia="Calibri" w:hAnsi="Calibri"/>
          <w:color w:val="1E293B"/>
          <w:sz w:val="22"/>
          <w:szCs w:val="22"/>
        </w:rPr>
        <w:t xml:space="preserve">The customer is curious, not defensive. They want to see what the new model looks like. If they're still defending the legacy stack at the end of Session 1, slow down — repeat the workshop with a different sample of their data before moving to Session 2.</w:t>
      </w:r>
    </w:p>
    <w:p>
      <w:pPr>
        <w:pStyle w:val="Heading2"/>
        <w:spacing w:after="120" w:before="240"/>
      </w:pPr>
      <w:r>
        <w:rPr>
          <w:rFonts w:ascii="Calibri" w:cs="Calibri" w:eastAsia="Calibri" w:hAnsi="Calibri"/>
          <w:b/>
          <w:bCs/>
          <w:color w:val="0B1F3A"/>
          <w:sz w:val="26"/>
          <w:szCs w:val="26"/>
        </w:rPr>
        <w:t xml:space="preserve">5.2  Workshop 2 — "What does CSDM ask of us?"</w:t>
      </w:r>
    </w:p>
    <w:p>
      <w:pPr>
        <w:spacing w:after="120"/>
      </w:pPr>
      <w:r>
        <w:rPr>
          <w:rFonts w:ascii="Calibri" w:cs="Calibri" w:eastAsia="Calibri" w:hAnsi="Calibri"/>
          <w:b/>
          <w:bCs/>
          <w:color w:val="1E293B"/>
          <w:sz w:val="22"/>
          <w:szCs w:val="22"/>
        </w:rPr>
        <w:t xml:space="preserve">Goal: </w:t>
      </w:r>
      <w:r>
        <w:rPr>
          <w:rFonts w:ascii="Calibri" w:cs="Calibri" w:eastAsia="Calibri" w:hAnsi="Calibri"/>
          <w:color w:val="1E293B"/>
          <w:sz w:val="22"/>
          <w:szCs w:val="22"/>
        </w:rPr>
        <w:t xml:space="preserve">The customer understands the difference between Business Service, Technical Service, Application Service, and CI — and recognizes that most of what they call "business services" today are actually Application Services.</w:t>
      </w:r>
    </w:p>
    <w:p>
      <w:pPr>
        <w:spacing w:after="120"/>
      </w:pPr>
      <w:r>
        <w:rPr>
          <w:rFonts w:ascii="Calibri" w:cs="Calibri" w:eastAsia="Calibri" w:hAnsi="Calibri"/>
          <w:b/>
          <w:bCs/>
          <w:color w:val="1E293B"/>
          <w:sz w:val="22"/>
          <w:szCs w:val="22"/>
        </w:rPr>
        <w:t xml:space="preserve">Materials: </w:t>
      </w:r>
      <w:r>
        <w:rPr>
          <w:rFonts w:ascii="Calibri" w:cs="Calibri" w:eastAsia="Calibri" w:hAnsi="Calibri"/>
          <w:color w:val="1E293B"/>
          <w:sz w:val="22"/>
          <w:szCs w:val="22"/>
        </w:rPr>
        <w:t xml:space="preserve">CSDM 5.0 reference model from the practice library. The customer's current "business service list" (often a tab in their CMDB or a spreadsheet).</w:t>
      </w:r>
    </w:p>
    <w:p>
      <w:pPr>
        <w:spacing w:after="120"/>
      </w:pPr>
      <w:r>
        <w:rPr>
          <w:rFonts w:ascii="Calibri" w:cs="Calibri" w:eastAsia="Calibri" w:hAnsi="Calibri"/>
          <w:b/>
          <w:bCs/>
          <w:color w:val="1E293B"/>
          <w:sz w:val="22"/>
          <w:szCs w:val="22"/>
        </w:rPr>
        <w:t xml:space="preserve">Flow:</w:t>
      </w:r>
    </w:p>
    <w:p>
      <w:pPr>
        <w:pStyle w:val="ListParagraph"/>
        <w:numPr>
          <w:ilvl w:val="0"/>
          <w:numId w:val="3"/>
        </w:numPr>
        <w:spacing w:after="60"/>
      </w:pPr>
      <w:r>
        <w:rPr>
          <w:rFonts w:ascii="Calibri" w:cs="Calibri" w:eastAsia="Calibri" w:hAnsi="Calibri"/>
          <w:color w:val="1E293B"/>
          <w:sz w:val="22"/>
          <w:szCs w:val="22"/>
        </w:rPr>
        <w:t xml:space="preserve">Define the four CSDM concepts in plain language: Business Service ("Email"), Technical Service ("Microsoft 365"), Application Service ("Exchange Online East"), CI ("the Exchange Online tenant we have").</w:t>
      </w:r>
    </w:p>
    <w:p>
      <w:pPr>
        <w:pStyle w:val="ListParagraph"/>
        <w:numPr>
          <w:ilvl w:val="0"/>
          <w:numId w:val="3"/>
        </w:numPr>
        <w:spacing w:after="60"/>
      </w:pPr>
      <w:r>
        <w:rPr>
          <w:rFonts w:ascii="Calibri" w:cs="Calibri" w:eastAsia="Calibri" w:hAnsi="Calibri"/>
          <w:color w:val="1E293B"/>
          <w:sz w:val="22"/>
          <w:szCs w:val="22"/>
        </w:rPr>
        <w:t xml:space="preserve">Walk through their current "business service list." Most entries will turn out to be Application Services or CIs.</w:t>
      </w:r>
    </w:p>
    <w:p>
      <w:pPr>
        <w:pStyle w:val="ListParagraph"/>
        <w:numPr>
          <w:ilvl w:val="0"/>
          <w:numId w:val="3"/>
        </w:numPr>
        <w:spacing w:after="60"/>
      </w:pPr>
      <w:r>
        <w:rPr>
          <w:rFonts w:ascii="Calibri" w:cs="Calibri" w:eastAsia="Calibri" w:hAnsi="Calibri"/>
          <w:color w:val="1E293B"/>
          <w:sz w:val="22"/>
          <w:szCs w:val="22"/>
        </w:rPr>
        <w:t xml:space="preserve">Co-design 5–10 Business Services together. Keep the count small — Business Services are customer-facing offerings, not internal applications.</w:t>
      </w:r>
    </w:p>
    <w:p>
      <w:pPr>
        <w:pStyle w:val="ListParagraph"/>
        <w:numPr>
          <w:ilvl w:val="0"/>
          <w:numId w:val="3"/>
        </w:numPr>
        <w:spacing w:after="60"/>
      </w:pPr>
      <w:r>
        <w:rPr>
          <w:rFonts w:ascii="Calibri" w:cs="Calibri" w:eastAsia="Calibri" w:hAnsi="Calibri"/>
          <w:color w:val="1E293B"/>
          <w:sz w:val="22"/>
          <w:szCs w:val="22"/>
        </w:rPr>
        <w:t xml:space="preserve">For each Business Service, identify the supporting Technical Services and Application Services.</w:t>
      </w:r>
    </w:p>
    <w:p>
      <w:pPr>
        <w:pStyle w:val="ListParagraph"/>
        <w:numPr>
          <w:ilvl w:val="0"/>
          <w:numId w:val="3"/>
        </w:numPr>
        <w:spacing w:after="60"/>
      </w:pPr>
      <w:r>
        <w:rPr>
          <w:rFonts w:ascii="Calibri" w:cs="Calibri" w:eastAsia="Calibri" w:hAnsi="Calibri"/>
          <w:color w:val="1E293B"/>
          <w:sz w:val="22"/>
          <w:szCs w:val="22"/>
        </w:rPr>
        <w:t xml:space="preserve">Land: "Routing in OOTB follows the CI on the ticket up the service chain. The Application Service tells you the Technical Service tells you the Business Service tells you the assignment group. No category dropdown required."</w:t>
      </w:r>
    </w:p>
    <w:p>
      <w:pPr>
        <w:spacing w:after="120"/>
      </w:pPr>
      <w:r>
        <w:rPr>
          <w:rFonts w:ascii="Calibri" w:cs="Calibri" w:eastAsia="Calibri" w:hAnsi="Calibri"/>
          <w:b/>
          <w:bCs/>
          <w:color w:val="1E293B"/>
          <w:sz w:val="22"/>
          <w:szCs w:val="22"/>
        </w:rPr>
        <w:t xml:space="preserve">What "good" looks like at the end of Workshop 2: </w:t>
      </w:r>
      <w:r>
        <w:rPr>
          <w:rFonts w:ascii="Calibri" w:cs="Calibri" w:eastAsia="Calibri" w:hAnsi="Calibri"/>
          <w:color w:val="1E293B"/>
          <w:sz w:val="22"/>
          <w:szCs w:val="22"/>
        </w:rPr>
        <w:t xml:space="preserve">The customer can articulate the difference between Business Service and Application Service in their own words and has co-designed 5–10 Business Services with you.</w:t>
      </w:r>
    </w:p>
    <w:p>
      <w:pPr>
        <w:pStyle w:val="Heading2"/>
        <w:spacing w:after="120" w:before="240"/>
      </w:pPr>
      <w:r>
        <w:rPr>
          <w:rFonts w:ascii="Calibri" w:cs="Calibri" w:eastAsia="Calibri" w:hAnsi="Calibri"/>
          <w:b/>
          <w:bCs/>
          <w:color w:val="0B1F3A"/>
          <w:sz w:val="26"/>
          <w:szCs w:val="26"/>
        </w:rPr>
        <w:t xml:space="preserve">5.3  Workshop 3 — "Designing the new categorization"</w:t>
      </w:r>
    </w:p>
    <w:p>
      <w:pPr>
        <w:spacing w:after="120"/>
      </w:pPr>
      <w:r>
        <w:rPr>
          <w:rFonts w:ascii="Calibri" w:cs="Calibri" w:eastAsia="Calibri" w:hAnsi="Calibri"/>
          <w:b/>
          <w:bCs/>
          <w:color w:val="1E293B"/>
          <w:sz w:val="22"/>
          <w:szCs w:val="22"/>
        </w:rPr>
        <w:t xml:space="preserve">Goal: </w:t>
      </w:r>
      <w:r>
        <w:rPr>
          <w:rFonts w:ascii="Calibri" w:cs="Calibri" w:eastAsia="Calibri" w:hAnsi="Calibri"/>
          <w:color w:val="1E293B"/>
          <w:sz w:val="22"/>
          <w:szCs w:val="22"/>
        </w:rPr>
        <w:t xml:space="preserve">The customer co-designs the OOTB-aligned 5–7 top-level categories with 4–8 subcategories each.</w:t>
      </w:r>
    </w:p>
    <w:p>
      <w:pPr>
        <w:spacing w:after="120"/>
      </w:pPr>
      <w:r>
        <w:rPr>
          <w:rFonts w:ascii="Calibri" w:cs="Calibri" w:eastAsia="Calibri" w:hAnsi="Calibri"/>
          <w:b/>
          <w:bCs/>
          <w:color w:val="1E293B"/>
          <w:sz w:val="22"/>
          <w:szCs w:val="22"/>
        </w:rPr>
        <w:t xml:space="preserve">Materials: </w:t>
      </w:r>
      <w:r>
        <w:rPr>
          <w:rFonts w:ascii="Calibri" w:cs="Calibri" w:eastAsia="Calibri" w:hAnsi="Calibri"/>
          <w:color w:val="1E293B"/>
          <w:sz w:val="22"/>
          <w:szCs w:val="22"/>
        </w:rPr>
        <w:t xml:space="preserve">The canonical OOTB structure (Section 3.1) as starting template. The reclassification mapping from Section 2.3.</w:t>
      </w:r>
    </w:p>
    <w:p>
      <w:pPr>
        <w:spacing w:after="120"/>
      </w:pPr>
      <w:r>
        <w:rPr>
          <w:rFonts w:ascii="Calibri" w:cs="Calibri" w:eastAsia="Calibri" w:hAnsi="Calibri"/>
          <w:b/>
          <w:bCs/>
          <w:color w:val="1E293B"/>
          <w:sz w:val="22"/>
          <w:szCs w:val="22"/>
        </w:rPr>
        <w:t xml:space="preserve">Flow:</w:t>
      </w:r>
    </w:p>
    <w:p>
      <w:pPr>
        <w:pStyle w:val="ListParagraph"/>
        <w:numPr>
          <w:ilvl w:val="0"/>
          <w:numId w:val="3"/>
        </w:numPr>
        <w:spacing w:after="60"/>
      </w:pPr>
      <w:r>
        <w:rPr>
          <w:rFonts w:ascii="Calibri" w:cs="Calibri" w:eastAsia="Calibri" w:hAnsi="Calibri"/>
          <w:color w:val="1E293B"/>
          <w:sz w:val="22"/>
          <w:szCs w:val="22"/>
        </w:rPr>
        <w:t xml:space="preserve">Start from the canonical OOTB top-level (Hardware, Software, Network, Account/Access, How-Do-I, Other). Confirm or adjust to match customer's vocabulary.</w:t>
      </w:r>
    </w:p>
    <w:p>
      <w:pPr>
        <w:pStyle w:val="ListParagraph"/>
        <w:numPr>
          <w:ilvl w:val="0"/>
          <w:numId w:val="3"/>
        </w:numPr>
        <w:spacing w:after="60"/>
      </w:pPr>
      <w:r>
        <w:rPr>
          <w:rFonts w:ascii="Calibri" w:cs="Calibri" w:eastAsia="Calibri" w:hAnsi="Calibri"/>
          <w:color w:val="1E293B"/>
          <w:sz w:val="22"/>
          <w:szCs w:val="22"/>
        </w:rPr>
        <w:t xml:space="preserve">For each top-level, design 4–8 subcategories using the customer's actual issue patterns (from your 60-day analysis).</w:t>
      </w:r>
    </w:p>
    <w:p>
      <w:pPr>
        <w:pStyle w:val="ListParagraph"/>
        <w:numPr>
          <w:ilvl w:val="0"/>
          <w:numId w:val="3"/>
        </w:numPr>
        <w:spacing w:after="60"/>
      </w:pPr>
      <w:r>
        <w:rPr>
          <w:rFonts w:ascii="Calibri" w:cs="Calibri" w:eastAsia="Calibri" w:hAnsi="Calibri"/>
          <w:color w:val="1E293B"/>
          <w:sz w:val="22"/>
          <w:szCs w:val="22"/>
        </w:rPr>
        <w:t xml:space="preserve">Walk through the top-50 reclassification. For each legacy entry, confirm its OOTB target.</w:t>
      </w:r>
    </w:p>
    <w:p>
      <w:pPr>
        <w:pStyle w:val="ListParagraph"/>
        <w:numPr>
          <w:ilvl w:val="0"/>
          <w:numId w:val="3"/>
        </w:numPr>
        <w:spacing w:after="60"/>
      </w:pPr>
      <w:r>
        <w:rPr>
          <w:rFonts w:ascii="Calibri" w:cs="Calibri" w:eastAsia="Calibri" w:hAnsi="Calibri"/>
          <w:color w:val="1E293B"/>
          <w:sz w:val="22"/>
          <w:szCs w:val="22"/>
        </w:rPr>
        <w:t xml:space="preserve">Identify the edge cases. Most have a clear OOTB home; a few may need Governance Board review.</w:t>
      </w:r>
    </w:p>
    <w:p>
      <w:pPr>
        <w:pStyle w:val="ListParagraph"/>
        <w:numPr>
          <w:ilvl w:val="0"/>
          <w:numId w:val="3"/>
        </w:numPr>
        <w:spacing w:after="60"/>
      </w:pPr>
      <w:r>
        <w:rPr>
          <w:rFonts w:ascii="Calibri" w:cs="Calibri" w:eastAsia="Calibri" w:hAnsi="Calibri"/>
          <w:color w:val="1E293B"/>
          <w:sz w:val="22"/>
          <w:szCs w:val="22"/>
        </w:rPr>
        <w:t xml:space="preserve">Land: "You're at 33 leaves. Down from your current count. None of the operational capability is lost — it moved to the right places."</w:t>
      </w:r>
    </w:p>
    <w:p>
      <w:pPr>
        <w:spacing w:after="120"/>
      </w:pPr>
      <w:r>
        <w:rPr>
          <w:rFonts w:ascii="Calibri" w:cs="Calibri" w:eastAsia="Calibri" w:hAnsi="Calibri"/>
          <w:b/>
          <w:bCs/>
          <w:color w:val="1E293B"/>
          <w:sz w:val="22"/>
          <w:szCs w:val="22"/>
        </w:rPr>
        <w:t xml:space="preserve">What "good" looks like at the end of Workshop 3: </w:t>
      </w:r>
      <w:r>
        <w:rPr>
          <w:rFonts w:ascii="Calibri" w:cs="Calibri" w:eastAsia="Calibri" w:hAnsi="Calibri"/>
          <w:color w:val="1E293B"/>
          <w:sz w:val="22"/>
          <w:szCs w:val="22"/>
        </w:rPr>
        <w:t xml:space="preserve">The customer signs off on the new categorization tree and the reclassification mapping. They have a sense of relief — fewer dropdowns to maintain, clearer trending, faster triage.</w:t>
      </w:r>
    </w:p>
    <w:p>
      <w:pPr>
        <w:pStyle w:val="Heading2"/>
        <w:spacing w:after="120" w:before="240"/>
      </w:pPr>
      <w:r>
        <w:rPr>
          <w:rFonts w:ascii="Calibri" w:cs="Calibri" w:eastAsia="Calibri" w:hAnsi="Calibri"/>
          <w:b/>
          <w:bCs/>
          <w:color w:val="0B1F3A"/>
          <w:sz w:val="26"/>
          <w:szCs w:val="26"/>
        </w:rPr>
        <w:t xml:space="preserve">5.4  Workshop 4 — "Honoring the years of work"</w:t>
      </w:r>
    </w:p>
    <w:p>
      <w:pPr>
        <w:spacing w:after="120"/>
      </w:pPr>
      <w:r>
        <w:rPr>
          <w:rFonts w:ascii="Calibri" w:cs="Calibri" w:eastAsia="Calibri" w:hAnsi="Calibri"/>
          <w:b/>
          <w:bCs/>
          <w:color w:val="1E293B"/>
          <w:sz w:val="22"/>
          <w:szCs w:val="22"/>
        </w:rPr>
        <w:t xml:space="preserve">Goal: </w:t>
      </w:r>
      <w:r>
        <w:rPr>
          <w:rFonts w:ascii="Calibri" w:cs="Calibri" w:eastAsia="Calibri" w:hAnsi="Calibri"/>
          <w:color w:val="1E293B"/>
          <w:sz w:val="22"/>
          <w:szCs w:val="22"/>
        </w:rPr>
        <w:t xml:space="preserve">The customer understands what happens to their existing categorization data and that their team's years of work continue to deliver value through Predictive Intelligence.</w:t>
      </w:r>
    </w:p>
    <w:p>
      <w:pPr>
        <w:spacing w:after="120"/>
      </w:pPr>
      <w:r>
        <w:rPr>
          <w:rFonts w:ascii="Calibri" w:cs="Calibri" w:eastAsia="Calibri" w:hAnsi="Calibri"/>
          <w:b/>
          <w:bCs/>
          <w:color w:val="1E293B"/>
          <w:sz w:val="22"/>
          <w:szCs w:val="22"/>
        </w:rPr>
        <w:t xml:space="preserve">Materials: </w:t>
      </w:r>
      <w:r>
        <w:rPr>
          <w:rFonts w:ascii="Calibri" w:cs="Calibri" w:eastAsia="Calibri" w:hAnsi="Calibri"/>
          <w:color w:val="1E293B"/>
          <w:sz w:val="22"/>
          <w:szCs w:val="22"/>
        </w:rPr>
        <w:t xml:space="preserve">Predictive Intelligence training plan. Migration mapping table. Communication plan for service-desk team.</w:t>
      </w:r>
    </w:p>
    <w:p>
      <w:pPr>
        <w:spacing w:after="120"/>
      </w:pPr>
      <w:r>
        <w:rPr>
          <w:rFonts w:ascii="Calibri" w:cs="Calibri" w:eastAsia="Calibri" w:hAnsi="Calibri"/>
          <w:b/>
          <w:bCs/>
          <w:color w:val="1E293B"/>
          <w:sz w:val="22"/>
          <w:szCs w:val="22"/>
        </w:rPr>
        <w:t xml:space="preserve">Flow:</w:t>
      </w:r>
    </w:p>
    <w:p>
      <w:pPr>
        <w:pStyle w:val="ListParagraph"/>
        <w:numPr>
          <w:ilvl w:val="0"/>
          <w:numId w:val="3"/>
        </w:numPr>
        <w:spacing w:after="60"/>
      </w:pPr>
      <w:r>
        <w:rPr>
          <w:rFonts w:ascii="Calibri" w:cs="Calibri" w:eastAsia="Calibri" w:hAnsi="Calibri"/>
          <w:color w:val="1E293B"/>
          <w:sz w:val="22"/>
          <w:szCs w:val="22"/>
        </w:rPr>
        <w:t xml:space="preserve">Show the migration mapping: every legacy leaf has a defined disposition (Map to OOTB, Move to CI, Move to close code, Retire).</w:t>
      </w:r>
    </w:p>
    <w:p>
      <w:pPr>
        <w:pStyle w:val="ListParagraph"/>
        <w:numPr>
          <w:ilvl w:val="0"/>
          <w:numId w:val="3"/>
        </w:numPr>
        <w:spacing w:after="60"/>
      </w:pPr>
      <w:r>
        <w:rPr>
          <w:rFonts w:ascii="Calibri" w:cs="Calibri" w:eastAsia="Calibri" w:hAnsi="Calibri"/>
          <w:color w:val="1E293B"/>
          <w:sz w:val="22"/>
          <w:szCs w:val="22"/>
        </w:rPr>
        <w:t xml:space="preserve">Explain Predictive Intelligence: 6+ months of (legacy_category, assignment_group, resolution) tuples train an ML model that suggests categorization on new tickets.</w:t>
      </w:r>
    </w:p>
    <w:p>
      <w:pPr>
        <w:pStyle w:val="ListParagraph"/>
        <w:numPr>
          <w:ilvl w:val="0"/>
          <w:numId w:val="3"/>
        </w:numPr>
        <w:spacing w:after="60"/>
      </w:pPr>
      <w:r>
        <w:rPr>
          <w:rFonts w:ascii="Calibri" w:cs="Calibri" w:eastAsia="Calibri" w:hAnsi="Calibri"/>
          <w:color w:val="1E293B"/>
          <w:sz w:val="22"/>
          <w:szCs w:val="22"/>
        </w:rPr>
        <w:t xml:space="preserve">Show the Predictive Intelligence flow: agent opens new ticket → PI suggests category, subcategory, assignment group based on description and historical patterns. Agent confirms or adjusts.</w:t>
      </w:r>
    </w:p>
    <w:p>
      <w:pPr>
        <w:pStyle w:val="ListParagraph"/>
        <w:numPr>
          <w:ilvl w:val="0"/>
          <w:numId w:val="3"/>
        </w:numPr>
        <w:spacing w:after="60"/>
      </w:pPr>
      <w:r>
        <w:rPr>
          <w:rFonts w:ascii="Calibri" w:cs="Calibri" w:eastAsia="Calibri" w:hAnsi="Calibri"/>
          <w:color w:val="1E293B"/>
          <w:sz w:val="22"/>
          <w:szCs w:val="22"/>
        </w:rPr>
        <w:t xml:space="preserve">Address the team-training concern: "Your service desk knew the old dropdown. They'll need a 30-day re-training. PI suggestions will be 75–85% accurate from week one and improve to 90%+ by month 3."</w:t>
      </w:r>
    </w:p>
    <w:p>
      <w:pPr>
        <w:pStyle w:val="ListParagraph"/>
        <w:numPr>
          <w:ilvl w:val="0"/>
          <w:numId w:val="3"/>
        </w:numPr>
        <w:spacing w:after="60"/>
      </w:pPr>
      <w:r>
        <w:rPr>
          <w:rFonts w:ascii="Calibri" w:cs="Calibri" w:eastAsia="Calibri" w:hAnsi="Calibri"/>
          <w:color w:val="1E293B"/>
          <w:sz w:val="22"/>
          <w:szCs w:val="22"/>
        </w:rPr>
        <w:t xml:space="preserve">Land: "The data your team captured doesn't disappear. It becomes the training substrate for AI. Their years of work continues to deliver value — through a different mechanism."</w:t>
      </w:r>
    </w:p>
    <w:p>
      <w:pPr>
        <w:spacing w:after="120"/>
      </w:pPr>
      <w:r>
        <w:rPr>
          <w:rFonts w:ascii="Calibri" w:cs="Calibri" w:eastAsia="Calibri" w:hAnsi="Calibri"/>
          <w:b/>
          <w:bCs/>
          <w:color w:val="1E293B"/>
          <w:sz w:val="22"/>
          <w:szCs w:val="22"/>
        </w:rPr>
        <w:t xml:space="preserve">What "good" looks like at the end of Workshop 4: </w:t>
      </w:r>
      <w:r>
        <w:rPr>
          <w:rFonts w:ascii="Calibri" w:cs="Calibri" w:eastAsia="Calibri" w:hAnsi="Calibri"/>
          <w:color w:val="1E293B"/>
          <w:sz w:val="22"/>
          <w:szCs w:val="22"/>
        </w:rPr>
        <w:t xml:space="preserve">The customer is energized about the AI capability ramp and views the realignment as preserving — not discarding — their investment.</w:t>
      </w:r>
    </w:p>
    <w:p>
      <w:r>
        <w:br w:type="page"/>
      </w:r>
    </w:p>
    <w:p>
      <w:pPr>
        <w:pStyle w:val="Heading1"/>
        <w:spacing w:after="180" w:before="360"/>
      </w:pPr>
      <w:r>
        <w:rPr>
          <w:rFonts w:ascii="Calibri" w:cs="Calibri" w:eastAsia="Calibri" w:hAnsi="Calibri"/>
          <w:b/>
          <w:bCs/>
          <w:color w:val="0B1F3A"/>
          <w:sz w:val="32"/>
          <w:szCs w:val="32"/>
        </w:rPr>
        <w:t xml:space="preserve">6.  The Pushback Library</w:t>
      </w:r>
    </w:p>
    <w:p>
      <w:pPr>
        <w:spacing w:after="120"/>
      </w:pPr>
      <w:r>
        <w:rPr>
          <w:rFonts w:ascii="Calibri" w:cs="Calibri" w:eastAsia="Calibri" w:hAnsi="Calibri"/>
          <w:color w:val="1E293B"/>
          <w:sz w:val="22"/>
          <w:szCs w:val="22"/>
        </w:rPr>
        <w:t xml:space="preserve">Specific scenarios you will encounter and the language to handle them. Use these verbatim or adapt to your voice.</w:t>
      </w:r>
    </w:p>
    <w:p>
      <w:pPr>
        <w:pStyle w:val="Heading3"/>
        <w:spacing w:after="100" w:before="200"/>
      </w:pPr>
      <w:r>
        <w:rPr>
          <w:rFonts w:ascii="Calibri" w:cs="Calibri" w:eastAsia="Calibri" w:hAnsi="Calibri"/>
          <w:b/>
          <w:bCs/>
          <w:color w:val="0D9488"/>
          <w:sz w:val="22"/>
          <w:szCs w:val="22"/>
        </w:rPr>
        <w:t xml:space="preserve">"If we lose the categories, we lose the routing."</w:t>
      </w:r>
    </w:p>
    <w:p>
      <w:pPr>
        <w:pBdr>
          <w:left w:val="single" w:color="14B8A6" w:sz="12" w:space="8"/>
        </w:pBdr>
        <w:spacing w:after="120" w:before="80"/>
        <w:ind w:left="360" w:right="360"/>
      </w:pPr>
      <w:r>
        <w:rPr>
          <w:rFonts w:ascii="Calibri" w:cs="Calibri" w:eastAsia="Calibri" w:hAnsi="Calibri"/>
          <w:i/>
          <w:iCs/>
          <w:color w:val="475569"/>
          <w:sz w:val="22"/>
          <w:szCs w:val="22"/>
        </w:rPr>
        <w:t xml:space="preserve">"Routing in OOTB doesn't come from categories. It comes from the CI on the ticket and the assignment group bound to that CI's service. The categories don't go away — they just stop being load-bearing for routing. Let me show you a sample incident with the new model."</w:t>
      </w:r>
    </w:p>
    <w:p>
      <w:pPr>
        <w:pStyle w:val="Heading3"/>
        <w:spacing w:after="100" w:before="200"/>
      </w:pPr>
      <w:r>
        <w:rPr>
          <w:rFonts w:ascii="Calibri" w:cs="Calibri" w:eastAsia="Calibri" w:hAnsi="Calibri"/>
          <w:b/>
          <w:bCs/>
          <w:color w:val="0D9488"/>
          <w:sz w:val="22"/>
          <w:szCs w:val="22"/>
        </w:rPr>
        <w:t xml:space="preserve">"Our team knows the legacy dropdown by muscle memory. They won't accept a new structure."</w:t>
      </w:r>
    </w:p>
    <w:p>
      <w:pPr>
        <w:pBdr>
          <w:left w:val="single" w:color="14B8A6" w:sz="12" w:space="8"/>
        </w:pBdr>
        <w:spacing w:after="120" w:before="80"/>
        <w:ind w:left="360" w:right="360"/>
      </w:pPr>
      <w:r>
        <w:rPr>
          <w:rFonts w:ascii="Calibri" w:cs="Calibri" w:eastAsia="Calibri" w:hAnsi="Calibri"/>
          <w:i/>
          <w:iCs/>
          <w:color w:val="475569"/>
          <w:sz w:val="22"/>
          <w:szCs w:val="22"/>
        </w:rPr>
        <w:t xml:space="preserve">"The retraining is real — about 30 days. But Predictive Intelligence suggests categorization from week one with 75–85% accuracy, climbing to 90%+ by month 3. The team isn't memorizing a new tree from scratch; they're confirming or adjusting AI suggestions. Most teams report higher categorization accuracy in the new model than they had with their muscle-memory dropdown."</w:t>
      </w:r>
    </w:p>
    <w:p>
      <w:pPr>
        <w:pStyle w:val="Heading3"/>
        <w:spacing w:after="100" w:before="200"/>
      </w:pPr>
      <w:r>
        <w:rPr>
          <w:rFonts w:ascii="Calibri" w:cs="Calibri" w:eastAsia="Calibri" w:hAnsi="Calibri"/>
          <w:b/>
          <w:bCs/>
          <w:color w:val="0D9488"/>
          <w:sz w:val="22"/>
          <w:szCs w:val="22"/>
        </w:rPr>
        <w:t xml:space="preserve">"We have SLAs tied to specific category leaves."</w:t>
      </w:r>
    </w:p>
    <w:p>
      <w:pPr>
        <w:pBdr>
          <w:left w:val="single" w:color="14B8A6" w:sz="12" w:space="8"/>
        </w:pBdr>
        <w:spacing w:after="120" w:before="80"/>
        <w:ind w:left="360" w:right="360"/>
      </w:pPr>
      <w:r>
        <w:rPr>
          <w:rFonts w:ascii="Calibri" w:cs="Calibri" w:eastAsia="Calibri" w:hAnsi="Calibri"/>
          <w:i/>
          <w:iCs/>
          <w:color w:val="475569"/>
          <w:sz w:val="22"/>
          <w:szCs w:val="22"/>
        </w:rPr>
        <w:t xml:space="preserve">"Move them to priority and CI criticality. SLA on category 'Software → Email' is really SLA on 'the Email service is critical.' That's a CSDM-clean relationship and it survives organizational changes — your category dropdown does not."</w:t>
      </w:r>
    </w:p>
    <w:p>
      <w:pPr>
        <w:pStyle w:val="Heading3"/>
        <w:spacing w:after="100" w:before="200"/>
      </w:pPr>
      <w:r>
        <w:rPr>
          <w:rFonts w:ascii="Calibri" w:cs="Calibri" w:eastAsia="Calibri" w:hAnsi="Calibri"/>
          <w:b/>
          <w:bCs/>
          <w:color w:val="0D9488"/>
          <w:sz w:val="22"/>
          <w:szCs w:val="22"/>
        </w:rPr>
        <w:t xml:space="preserve">"Our reporting is built on the legacy stack."</w:t>
      </w:r>
    </w:p>
    <w:p>
      <w:pPr>
        <w:pBdr>
          <w:left w:val="single" w:color="14B8A6" w:sz="12" w:space="8"/>
        </w:pBdr>
        <w:spacing w:after="120" w:before="80"/>
        <w:ind w:left="360" w:right="360"/>
      </w:pPr>
      <w:r>
        <w:rPr>
          <w:rFonts w:ascii="Calibri" w:cs="Calibri" w:eastAsia="Calibri" w:hAnsi="Calibri"/>
          <w:i/>
          <w:iCs/>
          <w:color w:val="475569"/>
          <w:sz w:val="22"/>
          <w:szCs w:val="22"/>
        </w:rPr>
        <w:t xml:space="preserve">"Your reporting will be cleaner on the new stack. The category drift you have today — entries added every quarter, multiple paths to the same outcome — produces inconsistent trend data that makes year-over-year comparisons unreliable. The new stack is stable, which makes the reporting actually trustworthy. We'll co-design the new dashboards as part of the build."</w:t>
      </w:r>
    </w:p>
    <w:p>
      <w:pPr>
        <w:pStyle w:val="Heading3"/>
        <w:spacing w:after="100" w:before="200"/>
      </w:pPr>
      <w:r>
        <w:rPr>
          <w:rFonts w:ascii="Calibri" w:cs="Calibri" w:eastAsia="Calibri" w:hAnsi="Calibri"/>
          <w:b/>
          <w:bCs/>
          <w:color w:val="0D9488"/>
          <w:sz w:val="22"/>
          <w:szCs w:val="22"/>
        </w:rPr>
        <w:t xml:space="preserve">"This feels like throwing away years of work."</w:t>
      </w:r>
    </w:p>
    <w:p>
      <w:pPr>
        <w:pBdr>
          <w:left w:val="single" w:color="14B8A6" w:sz="12" w:space="8"/>
        </w:pBdr>
        <w:spacing w:after="120" w:before="80"/>
        <w:ind w:left="360" w:right="360"/>
      </w:pPr>
      <w:r>
        <w:rPr>
          <w:rFonts w:ascii="Calibri" w:cs="Calibri" w:eastAsia="Calibri" w:hAnsi="Calibri"/>
          <w:i/>
          <w:iCs/>
          <w:color w:val="475569"/>
          <w:sz w:val="22"/>
          <w:szCs w:val="22"/>
        </w:rPr>
        <w:t xml:space="preserve">"It's not. Every category your team selected for the past three years is a piece of training data for Predictive Intelligence. The dropdown as an active operating model is what we're retiring; the data behind it stays and starts paying off in a different way. Your team's investment continues — it just stops being maintenance burden and starts being AI training substrate."</w:t>
      </w:r>
    </w:p>
    <w:p>
      <w:pPr>
        <w:pStyle w:val="Heading3"/>
        <w:spacing w:after="100" w:before="200"/>
      </w:pPr>
      <w:r>
        <w:rPr>
          <w:rFonts w:ascii="Calibri" w:cs="Calibri" w:eastAsia="Calibri" w:hAnsi="Calibri"/>
          <w:b/>
          <w:bCs/>
          <w:color w:val="0D9488"/>
          <w:sz w:val="22"/>
          <w:szCs w:val="22"/>
        </w:rPr>
        <w:t xml:space="preserve">"What if a new technology comes out that doesn't fit the new categories?"</w:t>
      </w:r>
    </w:p>
    <w:p>
      <w:pPr>
        <w:pBdr>
          <w:left w:val="single" w:color="14B8A6" w:sz="12" w:space="8"/>
        </w:pBdr>
        <w:spacing w:after="120" w:before="80"/>
        <w:ind w:left="360" w:right="360"/>
      </w:pPr>
      <w:r>
        <w:rPr>
          <w:rFonts w:ascii="Calibri" w:cs="Calibri" w:eastAsia="Calibri" w:hAnsi="Calibri"/>
          <w:i/>
          <w:iCs/>
          <w:color w:val="475569"/>
          <w:sz w:val="22"/>
          <w:szCs w:val="22"/>
        </w:rPr>
        <w:t xml:space="preserve">"New technologies are CIs in the CMDB, not new dropdown entries. When the customer adopts a new SaaS tool, you add it as an Application Service in CSDM. Routing follows the new CI; categorization stays stable. Your dropdown stops growing."</w:t>
      </w:r>
    </w:p>
    <w:p>
      <w:pPr>
        <w:pStyle w:val="Heading3"/>
        <w:spacing w:after="100" w:before="200"/>
      </w:pPr>
      <w:r>
        <w:rPr>
          <w:rFonts w:ascii="Calibri" w:cs="Calibri" w:eastAsia="Calibri" w:hAnsi="Calibri"/>
          <w:b/>
          <w:bCs/>
          <w:color w:val="0D9488"/>
          <w:sz w:val="22"/>
          <w:szCs w:val="22"/>
        </w:rPr>
        <w:t xml:space="preserve">"Our customer-impact reporting needs to know what application broke."</w:t>
      </w:r>
    </w:p>
    <w:p>
      <w:pPr>
        <w:pBdr>
          <w:left w:val="single" w:color="14B8A6" w:sz="12" w:space="8"/>
        </w:pBdr>
        <w:spacing w:after="120" w:before="80"/>
        <w:ind w:left="360" w:right="360"/>
      </w:pPr>
      <w:r>
        <w:rPr>
          <w:rFonts w:ascii="Calibri" w:cs="Calibri" w:eastAsia="Calibri" w:hAnsi="Calibri"/>
          <w:i/>
          <w:iCs/>
          <w:color w:val="475569"/>
          <w:sz w:val="22"/>
          <w:szCs w:val="22"/>
        </w:rPr>
        <w:t xml:space="preserve">"The CI on the ticket tells you the application — more accurately than the category dropdown ever did. The CMDB has the relationships: which Business Service, which other CIs are dependent. Customer-impact reporting moves from category-driven (which was approximate) to CMDB-driven (which is precise)."</w:t>
      </w:r>
    </w:p>
    <w:p>
      <w:pPr>
        <w:pStyle w:val="Heading3"/>
        <w:spacing w:after="100" w:before="200"/>
      </w:pPr>
      <w:r>
        <w:rPr>
          <w:rFonts w:ascii="Calibri" w:cs="Calibri" w:eastAsia="Calibri" w:hAnsi="Calibri"/>
          <w:b/>
          <w:bCs/>
          <w:color w:val="0D9488"/>
          <w:sz w:val="22"/>
          <w:szCs w:val="22"/>
        </w:rPr>
        <w:t xml:space="preserve">"We can't get the CMDB clean fast enough to drive routing from CIs."</w:t>
      </w:r>
    </w:p>
    <w:p>
      <w:pPr>
        <w:pBdr>
          <w:left w:val="single" w:color="14B8A6" w:sz="12" w:space="8"/>
        </w:pBdr>
        <w:spacing w:after="120" w:before="80"/>
        <w:ind w:left="360" w:right="360"/>
      </w:pPr>
      <w:r>
        <w:rPr>
          <w:rFonts w:ascii="Calibri" w:cs="Calibri" w:eastAsia="Calibri" w:hAnsi="Calibri"/>
          <w:i/>
          <w:iCs/>
          <w:color w:val="475569"/>
          <w:sz w:val="22"/>
          <w:szCs w:val="22"/>
        </w:rPr>
        <w:t xml:space="preserve">"Phase 1 lands the CSDM-aligned CMDB foundation. Initial CI population comes from Discovery and Service Graph Connectors (SCCM, Intune). For tickets without a CI, fallback routing uses the category — but this is the exception, not the default. We track CI population rate as a Phase 1 KPI; the goal is 70%+ by go-live, climbing through Phase 2."</w:t>
      </w:r>
    </w:p>
    <w:p>
      <w:pPr>
        <w:pStyle w:val="Heading3"/>
        <w:spacing w:after="100" w:before="200"/>
      </w:pPr>
      <w:r>
        <w:rPr>
          <w:rFonts w:ascii="Calibri" w:cs="Calibri" w:eastAsia="Calibri" w:hAnsi="Calibri"/>
          <w:b/>
          <w:bCs/>
          <w:color w:val="0D9488"/>
          <w:sz w:val="22"/>
          <w:szCs w:val="22"/>
        </w:rPr>
        <w:t xml:space="preserve">"The Governance Board is going to want every legacy category to be 'Required.'"</w:t>
      </w:r>
    </w:p>
    <w:p>
      <w:pPr>
        <w:pBdr>
          <w:left w:val="single" w:color="14B8A6" w:sz="12" w:space="8"/>
        </w:pBdr>
        <w:spacing w:after="120" w:before="80"/>
        <w:ind w:left="360" w:right="360"/>
      </w:pPr>
      <w:r>
        <w:rPr>
          <w:rFonts w:ascii="Calibri" w:cs="Calibri" w:eastAsia="Calibri" w:hAnsi="Calibri"/>
          <w:i/>
          <w:iCs/>
          <w:color w:val="475569"/>
          <w:sz w:val="22"/>
          <w:szCs w:val="22"/>
        </w:rPr>
        <w:t xml:space="preserve">"That's a Sponsor-level conversation. The Governance Charter we co-signed at Sprint 0 commits both sides to the OOTB-first principle. Approving every legacy category as Required defeats the principle. Use the two-key process — Sponsor approves the genuine business need, Practice Lead validates the technical path. Most legacy categories don't survive that test."</w:t>
      </w:r>
    </w:p>
    <w:p>
      <w:pPr>
        <w:pStyle w:val="Heading3"/>
        <w:spacing w:after="100" w:before="200"/>
      </w:pPr>
      <w:r>
        <w:rPr>
          <w:rFonts w:ascii="Calibri" w:cs="Calibri" w:eastAsia="Calibri" w:hAnsi="Calibri"/>
          <w:b/>
          <w:bCs/>
          <w:color w:val="0D9488"/>
          <w:sz w:val="22"/>
          <w:szCs w:val="22"/>
        </w:rPr>
        <w:t xml:space="preserve">"This is going to feel disruptive to our service desk."</w:t>
      </w:r>
    </w:p>
    <w:p>
      <w:pPr>
        <w:pBdr>
          <w:left w:val="single" w:color="14B8A6" w:sz="12" w:space="8"/>
        </w:pBdr>
        <w:spacing w:after="120" w:before="80"/>
        <w:ind w:left="360" w:right="360"/>
      </w:pPr>
      <w:r>
        <w:rPr>
          <w:rFonts w:ascii="Calibri" w:cs="Calibri" w:eastAsia="Calibri" w:hAnsi="Calibri"/>
          <w:i/>
          <w:iCs/>
          <w:color w:val="475569"/>
          <w:sz w:val="22"/>
          <w:szCs w:val="22"/>
        </w:rPr>
        <w:t xml:space="preserve">"It will feel like a change. Most service desks report being more efficient on the new stack within 30 days because there are fewer dropdown decisions to make and PI does most of the categorization for them. The disruption is real but short. We'll plan the team-comm and training rollout together — it's a Connection-owned activity but ECS supports the design."</w:t>
      </w:r>
    </w:p>
    <w:p>
      <w:r>
        <w:br w:type="page"/>
      </w:r>
    </w:p>
    <w:p>
      <w:pPr>
        <w:pStyle w:val="Heading1"/>
        <w:spacing w:after="180" w:before="360"/>
      </w:pPr>
      <w:r>
        <w:rPr>
          <w:rFonts w:ascii="Calibri" w:cs="Calibri" w:eastAsia="Calibri" w:hAnsi="Calibri"/>
          <w:b/>
          <w:bCs/>
          <w:color w:val="0B1F3A"/>
          <w:sz w:val="32"/>
          <w:szCs w:val="32"/>
        </w:rPr>
        <w:t xml:space="preserve">7.  Migration and Cutover</w:t>
      </w:r>
    </w:p>
    <w:p>
      <w:pPr>
        <w:pStyle w:val="Heading2"/>
        <w:spacing w:after="120" w:before="240"/>
      </w:pPr>
      <w:r>
        <w:rPr>
          <w:rFonts w:ascii="Calibri" w:cs="Calibri" w:eastAsia="Calibri" w:hAnsi="Calibri"/>
          <w:b/>
          <w:bCs/>
          <w:color w:val="0B1F3A"/>
          <w:sz w:val="26"/>
          <w:szCs w:val="26"/>
        </w:rPr>
        <w:t xml:space="preserve">7.1  The mapping table</w:t>
      </w:r>
    </w:p>
    <w:p>
      <w:pPr>
        <w:spacing w:after="120"/>
      </w:pPr>
      <w:r>
        <w:rPr>
          <w:rFonts w:ascii="Calibri" w:cs="Calibri" w:eastAsia="Calibri" w:hAnsi="Calibri"/>
          <w:color w:val="1E293B"/>
          <w:sz w:val="22"/>
          <w:szCs w:val="22"/>
        </w:rPr>
        <w:t xml:space="preserve">Single source of truth for the realignment. Every legacy category leaf has a defined disposition. The Solution Architect maintains this in the engagement's Governance Triage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240"/>
        <w:gridCol w:w="41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Disposition</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Happens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Example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Map to OOTB</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Legacy entry has direct OOTB equivalent in the new tree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"Software → Microsoft → Outlook → Crashes" → "Software → Email"</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Move to CI</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Legacy entry was a CI in disguise — becomes a CMDB Application Service reference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"Salesforce → Login" → CI: Salesforce; Category: Account/Access → Account Lockout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Move to close code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Legacy entry was a resolution outcome — moves to resolution_code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"Hardware → Replaced" → close_code = 'Hardware replaced'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Retire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Zero or near-zero volume; not in current use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"Software → BlackBerry → Sync Issue" — no records in 90 days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Governance Board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Genuinely outside OOTB envelope; needs two-key approval</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Industry-specific compliance categorization</w:t>
            </w:r>
          </w:p>
        </w:tc>
      </w:tr>
    </w:tbl>
    <w:p>
      <w:pPr>
        <w:pStyle w:val="Heading2"/>
        <w:spacing w:after="120" w:before="240"/>
      </w:pPr>
      <w:r>
        <w:rPr>
          <w:rFonts w:ascii="Calibri" w:cs="Calibri" w:eastAsia="Calibri" w:hAnsi="Calibri"/>
          <w:b/>
          <w:bCs/>
          <w:color w:val="0B1F3A"/>
          <w:sz w:val="26"/>
          <w:szCs w:val="26"/>
        </w:rPr>
        <w:t xml:space="preserve">7.2  Historical data preservation</w:t>
      </w:r>
    </w:p>
    <w:p>
      <w:pPr>
        <w:spacing w:after="120"/>
      </w:pPr>
      <w:r>
        <w:rPr>
          <w:rFonts w:ascii="Calibri" w:cs="Calibri" w:eastAsia="Calibri" w:hAnsi="Calibri"/>
          <w:color w:val="1E293B"/>
          <w:sz w:val="22"/>
          <w:szCs w:val="22"/>
        </w:rPr>
        <w:t xml:space="preserve">Legacy categorization is not deleted. It is preserved on closed records as legacy_category (custom u_field) for audit and trending continuity. New incidents use the OOTB-aligned tree.</w:t>
      </w:r>
    </w:p>
    <w:p>
      <w:pPr>
        <w:spacing w:after="120"/>
      </w:pPr>
      <w:r>
        <w:rPr>
          <w:rFonts w:ascii="Calibri" w:cs="Calibri" w:eastAsia="Calibri" w:hAnsi="Calibri"/>
          <w:color w:val="1E293B"/>
          <w:sz w:val="22"/>
          <w:szCs w:val="22"/>
        </w:rPr>
        <w:t xml:space="preserve">Open records at cutover are re-categorized in bulk using the mapping table. The Solution Architect runs the bulk update via Update Set in the cutover window.</w:t>
      </w:r>
    </w:p>
    <w:p>
      <w:pPr>
        <w:pStyle w:val="Heading2"/>
        <w:spacing w:after="120" w:before="240"/>
      </w:pPr>
      <w:r>
        <w:rPr>
          <w:rFonts w:ascii="Calibri" w:cs="Calibri" w:eastAsia="Calibri" w:hAnsi="Calibri"/>
          <w:b/>
          <w:bCs/>
          <w:color w:val="0B1F3A"/>
          <w:sz w:val="26"/>
          <w:szCs w:val="26"/>
        </w:rPr>
        <w:t xml:space="preserve">7.3  Predictive Intelligence training plan</w:t>
      </w:r>
    </w:p>
    <w:p>
      <w:pPr>
        <w:pStyle w:val="ListParagraph"/>
        <w:numPr>
          <w:ilvl w:val="0"/>
          <w:numId w:val="3"/>
        </w:numPr>
        <w:spacing w:after="60"/>
      </w:pPr>
      <w:r>
        <w:rPr>
          <w:rFonts w:ascii="Calibri" w:cs="Calibri" w:eastAsia="Calibri" w:hAnsi="Calibri"/>
          <w:color w:val="1E293B"/>
          <w:sz w:val="22"/>
          <w:szCs w:val="22"/>
        </w:rPr>
        <w:t xml:space="preserve">Pre-cutover: PI Cluster solution is configured against legacy incident data (90+ days). Initial model trains during the build phase.</w:t>
      </w:r>
    </w:p>
    <w:p>
      <w:pPr>
        <w:pStyle w:val="ListParagraph"/>
        <w:numPr>
          <w:ilvl w:val="0"/>
          <w:numId w:val="3"/>
        </w:numPr>
        <w:spacing w:after="60"/>
      </w:pPr>
      <w:r>
        <w:rPr>
          <w:rFonts w:ascii="Calibri" w:cs="Calibri" w:eastAsia="Calibri" w:hAnsi="Calibri"/>
          <w:color w:val="1E293B"/>
          <w:sz w:val="22"/>
          <w:szCs w:val="22"/>
        </w:rPr>
        <w:t xml:space="preserve">At cutover: PI is enabled in the production instance. First-week predictions use the legacy-trained model.</w:t>
      </w:r>
    </w:p>
    <w:p>
      <w:pPr>
        <w:pStyle w:val="ListParagraph"/>
        <w:numPr>
          <w:ilvl w:val="0"/>
          <w:numId w:val="3"/>
        </w:numPr>
        <w:spacing w:after="60"/>
      </w:pPr>
      <w:r>
        <w:rPr>
          <w:rFonts w:ascii="Calibri" w:cs="Calibri" w:eastAsia="Calibri" w:hAnsi="Calibri"/>
          <w:color w:val="1E293B"/>
          <w:sz w:val="22"/>
          <w:szCs w:val="22"/>
        </w:rPr>
        <w:t xml:space="preserve">Post-cutover: PI continuously retrains on new incident data with the OOTB categories. Accuracy improves week over week.</w:t>
      </w:r>
    </w:p>
    <w:p>
      <w:pPr>
        <w:pStyle w:val="ListParagraph"/>
        <w:numPr>
          <w:ilvl w:val="0"/>
          <w:numId w:val="3"/>
        </w:numPr>
        <w:spacing w:after="60"/>
      </w:pPr>
      <w:r>
        <w:rPr>
          <w:rFonts w:ascii="Calibri" w:cs="Calibri" w:eastAsia="Calibri" w:hAnsi="Calibri"/>
          <w:color w:val="1E293B"/>
          <w:sz w:val="22"/>
          <w:szCs w:val="22"/>
        </w:rPr>
        <w:t xml:space="preserve">By month 3: PI accuracy typically reaches 85%+ — a metric we track in the engagement health dashboard.</w:t>
      </w:r>
    </w:p>
    <w:p>
      <w:pPr>
        <w:pStyle w:val="Heading2"/>
        <w:spacing w:after="120" w:before="240"/>
      </w:pPr>
      <w:r>
        <w:rPr>
          <w:rFonts w:ascii="Calibri" w:cs="Calibri" w:eastAsia="Calibri" w:hAnsi="Calibri"/>
          <w:b/>
          <w:bCs/>
          <w:color w:val="0B1F3A"/>
          <w:sz w:val="26"/>
          <w:szCs w:val="26"/>
        </w:rPr>
        <w:t xml:space="preserve">7.4  Cutover communication</w:t>
      </w:r>
    </w:p>
    <w:p>
      <w:pPr>
        <w:spacing w:after="120"/>
      </w:pPr>
      <w:r>
        <w:rPr>
          <w:rFonts w:ascii="Calibri" w:cs="Calibri" w:eastAsia="Calibri" w:hAnsi="Calibri"/>
          <w:color w:val="1E293B"/>
          <w:sz w:val="22"/>
          <w:szCs w:val="22"/>
        </w:rPr>
        <w:t xml:space="preserve">Customer-owned, ECS-supported. The communication plan addresses three audiences:</w:t>
      </w:r>
    </w:p>
    <w:p>
      <w:pPr>
        <w:pStyle w:val="ListParagraph"/>
        <w:numPr>
          <w:ilvl w:val="0"/>
          <w:numId w:val="2"/>
        </w:numPr>
        <w:spacing w:after="60"/>
      </w:pPr>
      <w:r>
        <w:rPr>
          <w:rFonts w:ascii="Calibri" w:cs="Calibri" w:eastAsia="Calibri" w:hAnsi="Calibri"/>
          <w:b/>
          <w:bCs/>
          <w:color w:val="1E293B"/>
          <w:sz w:val="22"/>
          <w:szCs w:val="22"/>
        </w:rPr>
        <w:t xml:space="preserve">Service Desk team: </w:t>
      </w:r>
      <w:r>
        <w:rPr>
          <w:rFonts w:ascii="Calibri" w:cs="Calibri" w:eastAsia="Calibri" w:hAnsi="Calibri"/>
          <w:color w:val="1E293B"/>
          <w:sz w:val="22"/>
          <w:szCs w:val="22"/>
        </w:rPr>
        <w:t xml:space="preserve">Training session, 30-day reference card, dropdown comparison guide. Delivered 1 week before cutover.</w:t>
      </w:r>
    </w:p>
    <w:p>
      <w:pPr>
        <w:pStyle w:val="ListParagraph"/>
        <w:numPr>
          <w:ilvl w:val="0"/>
          <w:numId w:val="2"/>
        </w:numPr>
        <w:spacing w:after="60"/>
      </w:pPr>
      <w:r>
        <w:rPr>
          <w:rFonts w:ascii="Calibri" w:cs="Calibri" w:eastAsia="Calibri" w:hAnsi="Calibri"/>
          <w:b/>
          <w:bCs/>
          <w:color w:val="1E293B"/>
          <w:sz w:val="22"/>
          <w:szCs w:val="22"/>
        </w:rPr>
        <w:t xml:space="preserve">Process Owners and Service Owners: </w:t>
      </w:r>
      <w:r>
        <w:rPr>
          <w:rFonts w:ascii="Calibri" w:cs="Calibri" w:eastAsia="Calibri" w:hAnsi="Calibri"/>
          <w:color w:val="1E293B"/>
          <w:sz w:val="22"/>
          <w:szCs w:val="22"/>
        </w:rPr>
        <w:t xml:space="preserve">Briefing on the new structure, CI relationships, and what changes in routing. Delivered 2 weeks before cutover.</w:t>
      </w:r>
    </w:p>
    <w:p>
      <w:pPr>
        <w:pStyle w:val="ListParagraph"/>
        <w:numPr>
          <w:ilvl w:val="0"/>
          <w:numId w:val="2"/>
        </w:numPr>
        <w:spacing w:after="60"/>
      </w:pPr>
      <w:r>
        <w:rPr>
          <w:rFonts w:ascii="Calibri" w:cs="Calibri" w:eastAsia="Calibri" w:hAnsi="Calibri"/>
          <w:b/>
          <w:bCs/>
          <w:color w:val="1E293B"/>
          <w:sz w:val="22"/>
          <w:szCs w:val="22"/>
        </w:rPr>
        <w:t xml:space="preserve">End users (catalog requesters, knowledge readers): </w:t>
      </w:r>
      <w:r>
        <w:rPr>
          <w:rFonts w:ascii="Calibri" w:cs="Calibri" w:eastAsia="Calibri" w:hAnsi="Calibri"/>
          <w:color w:val="1E293B"/>
          <w:sz w:val="22"/>
          <w:szCs w:val="22"/>
        </w:rPr>
        <w:t xml:space="preserve">Light-touch announcement, focus on improvements they'll see. Delivered 1 week before cutover.</w:t>
      </w:r>
    </w:p>
    <w:p>
      <w:r>
        <w:br w:type="page"/>
      </w:r>
    </w:p>
    <w:p>
      <w:pPr>
        <w:pStyle w:val="Heading1"/>
        <w:spacing w:after="180" w:before="360"/>
      </w:pPr>
      <w:r>
        <w:rPr>
          <w:rFonts w:ascii="Calibri" w:cs="Calibri" w:eastAsia="Calibri" w:hAnsi="Calibri"/>
          <w:b/>
          <w:bCs/>
          <w:color w:val="0B1F3A"/>
          <w:sz w:val="32"/>
          <w:szCs w:val="32"/>
        </w:rPr>
        <w:t xml:space="preserve">8.  Validation &amp; Quality Gates</w:t>
      </w:r>
    </w:p>
    <w:p>
      <w:pPr>
        <w:pStyle w:val="Heading2"/>
        <w:spacing w:after="120" w:before="240"/>
      </w:pPr>
      <w:r>
        <w:rPr>
          <w:rFonts w:ascii="Calibri" w:cs="Calibri" w:eastAsia="Calibri" w:hAnsi="Calibri"/>
          <w:b/>
          <w:bCs/>
          <w:color w:val="0B1F3A"/>
          <w:sz w:val="26"/>
          <w:szCs w:val="26"/>
        </w:rPr>
        <w:t xml:space="preserve">8.1  What good looks like,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Stage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Pass Criteria</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Workshop 1</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has internalized that 200+ category leaves resolve to 8–15 routing patterns. Curiosity, not defensiveness.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Workshop 2</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can articulate Business Service vs. Application Service. 5–10 Business Services co-designed.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Workshop 3</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Sign-off on new categorization tree. 30–40 leaves total. Reclassification mapping covers top 50 legacy entries.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End of Workshop 4</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aligned on Predictive Intelligence approach. Service-desk training plan agreed (Customer-owned).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Pre-cutover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Mapping table covers 100% of legacy leaves with active disposition. PI model trained on legacy data.</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Post-cutover (week 1)</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 desk operating on new tree. PI suggesting categories with 75%+ accuracy.</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Month 3 post-go-live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PI accuracy 85%+. Category drift = zero. Customer reporting working on new tree.</w:t>
            </w:r>
          </w:p>
        </w:tc>
      </w:tr>
    </w:tbl>
    <w:p>
      <w:pPr>
        <w:pStyle w:val="Heading2"/>
        <w:spacing w:after="120" w:before="240"/>
      </w:pPr>
      <w:r>
        <w:rPr>
          <w:rFonts w:ascii="Calibri" w:cs="Calibri" w:eastAsia="Calibri" w:hAnsi="Calibri"/>
          <w:b/>
          <w:bCs/>
          <w:color w:val="0B1F3A"/>
          <w:sz w:val="26"/>
          <w:szCs w:val="26"/>
        </w:rPr>
        <w:t xml:space="preserve">8.2  Red flags</w:t>
      </w:r>
    </w:p>
    <w:p>
      <w:pPr>
        <w:pStyle w:val="ListParagraph"/>
        <w:numPr>
          <w:ilvl w:val="0"/>
          <w:numId w:val="2"/>
        </w:numPr>
        <w:spacing w:after="60"/>
      </w:pPr>
      <w:r>
        <w:rPr>
          <w:rFonts w:ascii="Calibri" w:cs="Calibri" w:eastAsia="Calibri" w:hAnsi="Calibri"/>
          <w:color w:val="1E293B"/>
          <w:sz w:val="22"/>
          <w:szCs w:val="22"/>
        </w:rPr>
        <w:t xml:space="preserve">Workshop 1 ends without the customer questioning the legacy stack — repeat with different data.</w:t>
      </w:r>
    </w:p>
    <w:p>
      <w:pPr>
        <w:pStyle w:val="ListParagraph"/>
        <w:numPr>
          <w:ilvl w:val="0"/>
          <w:numId w:val="2"/>
        </w:numPr>
        <w:spacing w:after="60"/>
      </w:pPr>
      <w:r>
        <w:rPr>
          <w:rFonts w:ascii="Calibri" w:cs="Calibri" w:eastAsia="Calibri" w:hAnsi="Calibri"/>
          <w:color w:val="1E293B"/>
          <w:sz w:val="22"/>
          <w:szCs w:val="22"/>
        </w:rPr>
        <w:t xml:space="preserve">Customer insists every legacy leaf is "required" — Sponsor-level conversation; do not absorb.</w:t>
      </w:r>
    </w:p>
    <w:p>
      <w:pPr>
        <w:pStyle w:val="ListParagraph"/>
        <w:numPr>
          <w:ilvl w:val="0"/>
          <w:numId w:val="2"/>
        </w:numPr>
        <w:spacing w:after="60"/>
      </w:pPr>
      <w:r>
        <w:rPr>
          <w:rFonts w:ascii="Calibri" w:cs="Calibri" w:eastAsia="Calibri" w:hAnsi="Calibri"/>
          <w:color w:val="1E293B"/>
          <w:sz w:val="22"/>
          <w:szCs w:val="22"/>
        </w:rPr>
        <w:t xml:space="preserve">CI population rate stays below 30% past Sprint 4 — escalate; without CIs, routing reverts to category-driven and the realignment fails.</w:t>
      </w:r>
    </w:p>
    <w:p>
      <w:pPr>
        <w:pStyle w:val="ListParagraph"/>
        <w:numPr>
          <w:ilvl w:val="0"/>
          <w:numId w:val="2"/>
        </w:numPr>
        <w:spacing w:after="60"/>
      </w:pPr>
      <w:r>
        <w:rPr>
          <w:rFonts w:ascii="Calibri" w:cs="Calibri" w:eastAsia="Calibri" w:hAnsi="Calibri"/>
          <w:color w:val="1E293B"/>
          <w:sz w:val="22"/>
          <w:szCs w:val="22"/>
        </w:rPr>
        <w:t xml:space="preserve">PI accuracy below 70% by week 2 of go-live — investigate model training; usually a data-cleanliness issue.</w:t>
      </w:r>
    </w:p>
    <w:p>
      <w:pPr>
        <w:pStyle w:val="ListParagraph"/>
        <w:numPr>
          <w:ilvl w:val="0"/>
          <w:numId w:val="2"/>
        </w:numPr>
        <w:spacing w:after="60"/>
      </w:pPr>
      <w:r>
        <w:rPr>
          <w:rFonts w:ascii="Calibri" w:cs="Calibri" w:eastAsia="Calibri" w:hAnsi="Calibri"/>
          <w:color w:val="1E293B"/>
          <w:sz w:val="22"/>
          <w:szCs w:val="22"/>
        </w:rPr>
        <w:t xml:space="preserve">Service desk re-creates the legacy stack in the new tree by adding subcategories "to match the old way" — Sponsor-level conversation.</w:t>
      </w:r>
    </w:p>
    <w:p>
      <w:pPr>
        <w:pStyle w:val="Heading2"/>
        <w:spacing w:after="120" w:before="240"/>
      </w:pPr>
      <w:r>
        <w:rPr>
          <w:rFonts w:ascii="Calibri" w:cs="Calibri" w:eastAsia="Calibri" w:hAnsi="Calibri"/>
          <w:b/>
          <w:bCs/>
          <w:color w:val="0B1F3A"/>
          <w:sz w:val="26"/>
          <w:szCs w:val="26"/>
        </w:rPr>
        <w:t xml:space="preserve">8.3  Sign-off criteria</w:t>
      </w:r>
    </w:p>
    <w:p>
      <w:pPr>
        <w:pStyle w:val="ListParagraph"/>
        <w:numPr>
          <w:ilvl w:val="0"/>
          <w:numId w:val="2"/>
        </w:numPr>
        <w:spacing w:after="60"/>
      </w:pPr>
      <w:r>
        <w:rPr>
          <w:rFonts w:ascii="Calibri" w:cs="Calibri" w:eastAsia="Calibri" w:hAnsi="Calibri"/>
          <w:color w:val="1E293B"/>
          <w:sz w:val="22"/>
          <w:szCs w:val="22"/>
        </w:rPr>
        <w:t xml:space="preserve">Workshop 3 sign-off — joint, signed by customer Process Owner and ECS Solution Architect.</w:t>
      </w:r>
    </w:p>
    <w:p>
      <w:pPr>
        <w:pStyle w:val="ListParagraph"/>
        <w:numPr>
          <w:ilvl w:val="0"/>
          <w:numId w:val="2"/>
        </w:numPr>
        <w:spacing w:after="60"/>
      </w:pPr>
      <w:r>
        <w:rPr>
          <w:rFonts w:ascii="Calibri" w:cs="Calibri" w:eastAsia="Calibri" w:hAnsi="Calibri"/>
          <w:color w:val="1E293B"/>
          <w:sz w:val="22"/>
          <w:szCs w:val="22"/>
        </w:rPr>
        <w:t xml:space="preserve">Migration mapping sign-off — joint, signed by customer Sponsor and ECS Engagement Manager.</w:t>
      </w:r>
    </w:p>
    <w:p>
      <w:pPr>
        <w:pStyle w:val="ListParagraph"/>
        <w:numPr>
          <w:ilvl w:val="0"/>
          <w:numId w:val="2"/>
        </w:numPr>
        <w:spacing w:after="60"/>
      </w:pPr>
      <w:r>
        <w:rPr>
          <w:rFonts w:ascii="Calibri" w:cs="Calibri" w:eastAsia="Calibri" w:hAnsi="Calibri"/>
          <w:color w:val="1E293B"/>
          <w:sz w:val="22"/>
          <w:szCs w:val="22"/>
        </w:rPr>
        <w:t xml:space="preserve">Pre-cutover Go-Live readiness check — includes PI model accuracy threshold and team-training completion.</w:t>
      </w:r>
    </w:p>
    <w:p>
      <w:r>
        <w:br w:type="page"/>
      </w:r>
    </w:p>
    <w:p>
      <w:pPr>
        <w:pStyle w:val="Heading1"/>
        <w:spacing w:after="180" w:before="360"/>
      </w:pPr>
      <w:r>
        <w:rPr>
          <w:rFonts w:ascii="Calibri" w:cs="Calibri" w:eastAsia="Calibri" w:hAnsi="Calibri"/>
          <w:b/>
          <w:bCs/>
          <w:color w:val="0B1F3A"/>
          <w:sz w:val="32"/>
          <w:szCs w:val="32"/>
        </w:rPr>
        <w:t xml:space="preserve">Appendix A.  Sample Reduction Worksheet</w:t>
      </w:r>
    </w:p>
    <w:p>
      <w:pPr>
        <w:spacing w:after="120"/>
      </w:pPr>
      <w:r>
        <w:rPr>
          <w:rFonts w:ascii="Calibri" w:cs="Calibri" w:eastAsia="Calibri" w:hAnsi="Calibri"/>
          <w:color w:val="1E293B"/>
          <w:sz w:val="22"/>
          <w:szCs w:val="22"/>
        </w:rPr>
        <w:t xml:space="preserve">Pre-formatted Excel worksheet (delivered separately) with the following columns:</w:t>
      </w:r>
    </w:p>
    <w:p>
      <w:pPr>
        <w:pStyle w:val="ListParagraph"/>
        <w:numPr>
          <w:ilvl w:val="0"/>
          <w:numId w:val="2"/>
        </w:numPr>
        <w:spacing w:after="60"/>
      </w:pPr>
      <w:r>
        <w:rPr>
          <w:rFonts w:ascii="Calibri" w:cs="Calibri" w:eastAsia="Calibri" w:hAnsi="Calibri"/>
          <w:color w:val="1E293B"/>
          <w:sz w:val="22"/>
          <w:szCs w:val="22"/>
        </w:rPr>
        <w:t xml:space="preserve">Legacy Category (full path)</w:t>
      </w:r>
    </w:p>
    <w:p>
      <w:pPr>
        <w:pStyle w:val="ListParagraph"/>
        <w:numPr>
          <w:ilvl w:val="0"/>
          <w:numId w:val="2"/>
        </w:numPr>
        <w:spacing w:after="60"/>
      </w:pPr>
      <w:r>
        <w:rPr>
          <w:rFonts w:ascii="Calibri" w:cs="Calibri" w:eastAsia="Calibri" w:hAnsi="Calibri"/>
          <w:color w:val="1E293B"/>
          <w:sz w:val="22"/>
          <w:szCs w:val="22"/>
        </w:rPr>
        <w:t xml:space="preserve">Volume (60-day count)</w:t>
      </w:r>
    </w:p>
    <w:p>
      <w:pPr>
        <w:pStyle w:val="ListParagraph"/>
        <w:numPr>
          <w:ilvl w:val="0"/>
          <w:numId w:val="2"/>
        </w:numPr>
        <w:spacing w:after="60"/>
      </w:pPr>
      <w:r>
        <w:rPr>
          <w:rFonts w:ascii="Calibri" w:cs="Calibri" w:eastAsia="Calibri" w:hAnsi="Calibri"/>
          <w:color w:val="1E293B"/>
          <w:sz w:val="22"/>
          <w:szCs w:val="22"/>
        </w:rPr>
        <w:t xml:space="preserve">Top Routing Group(s)</w:t>
      </w:r>
    </w:p>
    <w:p>
      <w:pPr>
        <w:pStyle w:val="ListParagraph"/>
        <w:numPr>
          <w:ilvl w:val="0"/>
          <w:numId w:val="2"/>
        </w:numPr>
        <w:spacing w:after="60"/>
      </w:pPr>
      <w:r>
        <w:rPr>
          <w:rFonts w:ascii="Calibri" w:cs="Calibri" w:eastAsia="Calibri" w:hAnsi="Calibri"/>
          <w:color w:val="1E293B"/>
          <w:sz w:val="22"/>
          <w:szCs w:val="22"/>
        </w:rPr>
        <w:t xml:space="preserve">Disposition (Map to OOTB / Move to CI / Move to close code / Retire / Governance Board)</w:t>
      </w:r>
    </w:p>
    <w:p>
      <w:pPr>
        <w:pStyle w:val="ListParagraph"/>
        <w:numPr>
          <w:ilvl w:val="0"/>
          <w:numId w:val="2"/>
        </w:numPr>
        <w:spacing w:after="60"/>
      </w:pPr>
      <w:r>
        <w:rPr>
          <w:rFonts w:ascii="Calibri" w:cs="Calibri" w:eastAsia="Calibri" w:hAnsi="Calibri"/>
          <w:color w:val="1E293B"/>
          <w:sz w:val="22"/>
          <w:szCs w:val="22"/>
        </w:rPr>
        <w:t xml:space="preserve">Target OOTB Category (if Map to OOTB)</w:t>
      </w:r>
    </w:p>
    <w:p>
      <w:pPr>
        <w:pStyle w:val="ListParagraph"/>
        <w:numPr>
          <w:ilvl w:val="0"/>
          <w:numId w:val="2"/>
        </w:numPr>
        <w:spacing w:after="60"/>
      </w:pPr>
      <w:r>
        <w:rPr>
          <w:rFonts w:ascii="Calibri" w:cs="Calibri" w:eastAsia="Calibri" w:hAnsi="Calibri"/>
          <w:color w:val="1E293B"/>
          <w:sz w:val="22"/>
          <w:szCs w:val="22"/>
        </w:rPr>
        <w:t xml:space="preserve">Target CI / Application Service (if Move to CI)</w:t>
      </w:r>
    </w:p>
    <w:p>
      <w:pPr>
        <w:pStyle w:val="ListParagraph"/>
        <w:numPr>
          <w:ilvl w:val="0"/>
          <w:numId w:val="2"/>
        </w:numPr>
        <w:spacing w:after="60"/>
      </w:pPr>
      <w:r>
        <w:rPr>
          <w:rFonts w:ascii="Calibri" w:cs="Calibri" w:eastAsia="Calibri" w:hAnsi="Calibri"/>
          <w:color w:val="1E293B"/>
          <w:sz w:val="22"/>
          <w:szCs w:val="22"/>
        </w:rPr>
        <w:t xml:space="preserve">Target Close Code (if Move to close code)</w:t>
      </w:r>
    </w:p>
    <w:p>
      <w:pPr>
        <w:pStyle w:val="ListParagraph"/>
        <w:numPr>
          <w:ilvl w:val="0"/>
          <w:numId w:val="2"/>
        </w:numPr>
        <w:spacing w:after="60"/>
      </w:pPr>
      <w:r>
        <w:rPr>
          <w:rFonts w:ascii="Calibri" w:cs="Calibri" w:eastAsia="Calibri" w:hAnsi="Calibri"/>
          <w:color w:val="1E293B"/>
          <w:sz w:val="22"/>
          <w:szCs w:val="22"/>
        </w:rPr>
        <w:t xml:space="preserve">Rationale (why this disposition)</w:t>
      </w:r>
    </w:p>
    <w:p>
      <w:pPr>
        <w:pStyle w:val="ListParagraph"/>
        <w:numPr>
          <w:ilvl w:val="0"/>
          <w:numId w:val="2"/>
        </w:numPr>
        <w:spacing w:after="60"/>
      </w:pPr>
      <w:r>
        <w:rPr>
          <w:rFonts w:ascii="Calibri" w:cs="Calibri" w:eastAsia="Calibri" w:hAnsi="Calibri"/>
          <w:color w:val="1E293B"/>
          <w:sz w:val="22"/>
          <w:szCs w:val="22"/>
        </w:rPr>
        <w:t xml:space="preserve">Customer Sign-off (Y/N)</w:t>
      </w:r>
    </w:p>
    <w:p>
      <w:pPr>
        <w:pStyle w:val="ListParagraph"/>
        <w:numPr>
          <w:ilvl w:val="0"/>
          <w:numId w:val="2"/>
        </w:numPr>
        <w:spacing w:after="60"/>
      </w:pPr>
      <w:r>
        <w:rPr>
          <w:rFonts w:ascii="Calibri" w:cs="Calibri" w:eastAsia="Calibri" w:hAnsi="Calibri"/>
          <w:color w:val="1E293B"/>
          <w:sz w:val="22"/>
          <w:szCs w:val="22"/>
        </w:rPr>
        <w:t xml:space="preserve">Notes</w:t>
      </w:r>
    </w:p>
    <w:p>
      <w:pPr>
        <w:pStyle w:val="Heading1"/>
        <w:spacing w:after="180" w:before="360"/>
      </w:pPr>
      <w:r>
        <w:rPr>
          <w:rFonts w:ascii="Calibri" w:cs="Calibri" w:eastAsia="Calibri" w:hAnsi="Calibri"/>
          <w:b/>
          <w:bCs/>
          <w:color w:val="0B1F3A"/>
          <w:sz w:val="32"/>
          <w:szCs w:val="32"/>
        </w:rPr>
        <w:t xml:space="preserve">Appendix B.  Workshop Facilitation Deck — Outline</w:t>
      </w:r>
    </w:p>
    <w:p>
      <w:pPr>
        <w:spacing w:after="120"/>
      </w:pPr>
      <w:r>
        <w:rPr>
          <w:rFonts w:ascii="Calibri" w:cs="Calibri" w:eastAsia="Calibri" w:hAnsi="Calibri"/>
          <w:color w:val="1E293B"/>
          <w:sz w:val="22"/>
          <w:szCs w:val="22"/>
        </w:rPr>
        <w:t xml:space="preserve">Standard 10-slide deck per workshop, available in the practice library:</w:t>
      </w:r>
    </w:p>
    <w:p>
      <w:pPr>
        <w:pStyle w:val="ListParagraph"/>
        <w:numPr>
          <w:ilvl w:val="0"/>
          <w:numId w:val="3"/>
        </w:numPr>
        <w:spacing w:after="60"/>
      </w:pPr>
      <w:r>
        <w:rPr>
          <w:rFonts w:ascii="Calibri" w:cs="Calibri" w:eastAsia="Calibri" w:hAnsi="Calibri"/>
          <w:color w:val="1E293B"/>
          <w:sz w:val="22"/>
          <w:szCs w:val="22"/>
        </w:rPr>
        <w:t xml:space="preserve">Workshop title and goal</w:t>
      </w:r>
    </w:p>
    <w:p>
      <w:pPr>
        <w:pStyle w:val="ListParagraph"/>
        <w:numPr>
          <w:ilvl w:val="0"/>
          <w:numId w:val="3"/>
        </w:numPr>
        <w:spacing w:after="60"/>
      </w:pPr>
      <w:r>
        <w:rPr>
          <w:rFonts w:ascii="Calibri" w:cs="Calibri" w:eastAsia="Calibri" w:hAnsi="Calibri"/>
          <w:color w:val="1E293B"/>
          <w:sz w:val="22"/>
          <w:szCs w:val="22"/>
        </w:rPr>
        <w:t xml:space="preserve">Today's agenda (60–90 min)</w:t>
      </w:r>
    </w:p>
    <w:p>
      <w:pPr>
        <w:pStyle w:val="ListParagraph"/>
        <w:numPr>
          <w:ilvl w:val="0"/>
          <w:numId w:val="3"/>
        </w:numPr>
        <w:spacing w:after="60"/>
      </w:pPr>
      <w:r>
        <w:rPr>
          <w:rFonts w:ascii="Calibri" w:cs="Calibri" w:eastAsia="Calibri" w:hAnsi="Calibri"/>
          <w:color w:val="1E293B"/>
          <w:sz w:val="22"/>
          <w:szCs w:val="22"/>
        </w:rPr>
        <w:t xml:space="preserve">Recap of prior workshop (sessions 2–4)</w:t>
      </w:r>
    </w:p>
    <w:p>
      <w:pPr>
        <w:pStyle w:val="ListParagraph"/>
        <w:numPr>
          <w:ilvl w:val="0"/>
          <w:numId w:val="3"/>
        </w:numPr>
        <w:spacing w:after="60"/>
      </w:pPr>
      <w:r>
        <w:rPr>
          <w:rFonts w:ascii="Calibri" w:cs="Calibri" w:eastAsia="Calibri" w:hAnsi="Calibri"/>
          <w:color w:val="1E293B"/>
          <w:sz w:val="22"/>
          <w:szCs w:val="22"/>
        </w:rPr>
        <w:t xml:space="preserve">The data (analysis, sample incidents)</w:t>
      </w:r>
    </w:p>
    <w:p>
      <w:pPr>
        <w:pStyle w:val="ListParagraph"/>
        <w:numPr>
          <w:ilvl w:val="0"/>
          <w:numId w:val="3"/>
        </w:numPr>
        <w:spacing w:after="60"/>
      </w:pPr>
      <w:r>
        <w:rPr>
          <w:rFonts w:ascii="Calibri" w:cs="Calibri" w:eastAsia="Calibri" w:hAnsi="Calibri"/>
          <w:color w:val="1E293B"/>
          <w:sz w:val="22"/>
          <w:szCs w:val="22"/>
        </w:rPr>
        <w:t xml:space="preserve">The framing (three jobs, CSDM, etc.)</w:t>
      </w:r>
    </w:p>
    <w:p>
      <w:pPr>
        <w:pStyle w:val="ListParagraph"/>
        <w:numPr>
          <w:ilvl w:val="0"/>
          <w:numId w:val="3"/>
        </w:numPr>
        <w:spacing w:after="60"/>
      </w:pPr>
      <w:r>
        <w:rPr>
          <w:rFonts w:ascii="Calibri" w:cs="Calibri" w:eastAsia="Calibri" w:hAnsi="Calibri"/>
          <w:color w:val="1E293B"/>
          <w:sz w:val="22"/>
          <w:szCs w:val="22"/>
        </w:rPr>
        <w:t xml:space="preserve">The exercise (co-design, reclassification)</w:t>
      </w:r>
    </w:p>
    <w:p>
      <w:pPr>
        <w:pStyle w:val="ListParagraph"/>
        <w:numPr>
          <w:ilvl w:val="0"/>
          <w:numId w:val="3"/>
        </w:numPr>
        <w:spacing w:after="60"/>
      </w:pPr>
      <w:r>
        <w:rPr>
          <w:rFonts w:ascii="Calibri" w:cs="Calibri" w:eastAsia="Calibri" w:hAnsi="Calibri"/>
          <w:color w:val="1E293B"/>
          <w:sz w:val="22"/>
          <w:szCs w:val="22"/>
        </w:rPr>
        <w:t xml:space="preserve">What we decided</w:t>
      </w:r>
    </w:p>
    <w:p>
      <w:pPr>
        <w:pStyle w:val="ListParagraph"/>
        <w:numPr>
          <w:ilvl w:val="0"/>
          <w:numId w:val="3"/>
        </w:numPr>
        <w:spacing w:after="60"/>
      </w:pPr>
      <w:r>
        <w:rPr>
          <w:rFonts w:ascii="Calibri" w:cs="Calibri" w:eastAsia="Calibri" w:hAnsi="Calibri"/>
          <w:color w:val="1E293B"/>
          <w:sz w:val="22"/>
          <w:szCs w:val="22"/>
        </w:rPr>
        <w:t xml:space="preserve">What changes for your team</w:t>
      </w:r>
    </w:p>
    <w:p>
      <w:pPr>
        <w:pStyle w:val="ListParagraph"/>
        <w:numPr>
          <w:ilvl w:val="0"/>
          <w:numId w:val="3"/>
        </w:numPr>
        <w:spacing w:after="60"/>
      </w:pPr>
      <w:r>
        <w:rPr>
          <w:rFonts w:ascii="Calibri" w:cs="Calibri" w:eastAsia="Calibri" w:hAnsi="Calibri"/>
          <w:color w:val="1E293B"/>
          <w:sz w:val="22"/>
          <w:szCs w:val="22"/>
        </w:rPr>
        <w:t xml:space="preserve">Open questions / parking lot</w:t>
      </w:r>
    </w:p>
    <w:p>
      <w:pPr>
        <w:pStyle w:val="ListParagraph"/>
        <w:numPr>
          <w:ilvl w:val="0"/>
          <w:numId w:val="3"/>
        </w:numPr>
        <w:spacing w:after="60"/>
      </w:pPr>
      <w:r>
        <w:rPr>
          <w:rFonts w:ascii="Calibri" w:cs="Calibri" w:eastAsia="Calibri" w:hAnsi="Calibri"/>
          <w:color w:val="1E293B"/>
          <w:sz w:val="22"/>
          <w:szCs w:val="22"/>
        </w:rPr>
        <w:t xml:space="preserve">Sign-off and next workshop</w:t>
      </w:r>
    </w:p>
    <w:p>
      <w:pPr>
        <w:pStyle w:val="Heading1"/>
        <w:spacing w:after="180" w:before="360"/>
      </w:pPr>
      <w:r>
        <w:rPr>
          <w:rFonts w:ascii="Calibri" w:cs="Calibri" w:eastAsia="Calibri" w:hAnsi="Calibri"/>
          <w:b/>
          <w:bCs/>
          <w:color w:val="0B1F3A"/>
          <w:sz w:val="32"/>
          <w:szCs w:val="32"/>
        </w:rPr>
        <w:t xml:space="preserve">Appendix C.  Customer FAQ Responses</w:t>
      </w:r>
    </w:p>
    <w:p>
      <w:pPr>
        <w:spacing w:after="120"/>
      </w:pPr>
      <w:r>
        <w:rPr>
          <w:rFonts w:ascii="Calibri" w:cs="Calibri" w:eastAsia="Calibri" w:hAnsi="Calibri"/>
          <w:color w:val="1E293B"/>
          <w:sz w:val="22"/>
          <w:szCs w:val="22"/>
        </w:rPr>
        <w:t xml:space="preserve">Common questions you'll get and the verbatim answers. Pair with the Pushback Library (Section 6).</w:t>
      </w:r>
    </w:p>
    <w:p>
      <w:pPr>
        <w:spacing w:after="120"/>
      </w:pPr>
      <w:r>
        <w:rPr>
          <w:rFonts w:ascii="Calibri" w:cs="Calibri" w:eastAsia="Calibri" w:hAnsi="Calibri"/>
          <w:b/>
          <w:bCs/>
          <w:color w:val="1E293B"/>
          <w:sz w:val="22"/>
          <w:szCs w:val="22"/>
        </w:rPr>
        <w:t xml:space="preserve">"How long does the realignment take?"</w:t>
      </w:r>
    </w:p>
    <w:p>
      <w:pPr>
        <w:spacing w:after="120"/>
      </w:pPr>
      <w:r>
        <w:rPr>
          <w:rFonts w:ascii="Calibri" w:cs="Calibri" w:eastAsia="Calibri" w:hAnsi="Calibri"/>
          <w:color w:val="1E293B"/>
          <w:sz w:val="22"/>
          <w:szCs w:val="22"/>
        </w:rPr>
        <w:t xml:space="preserve">Workshops 1–3 across Sprint 1 and 2. Reclassification work in Sprint 2. Configuration in Sprint 3. Predictive Intelligence training pre-cutover. Total: aligned with the standard Phase 1 18-week timeline.</w:t>
      </w:r>
    </w:p>
    <w:p>
      <w:pPr>
        <w:spacing w:after="120"/>
      </w:pPr>
      <w:r>
        <w:rPr>
          <w:rFonts w:ascii="Calibri" w:cs="Calibri" w:eastAsia="Calibri" w:hAnsi="Calibri"/>
          <w:b/>
          <w:bCs/>
          <w:color w:val="1E293B"/>
          <w:sz w:val="22"/>
          <w:szCs w:val="22"/>
        </w:rPr>
        <w:t xml:space="preserve">"Will our service desk's productivity drop during the transition?"</w:t>
      </w:r>
    </w:p>
    <w:p>
      <w:pPr>
        <w:spacing w:after="120"/>
      </w:pPr>
      <w:r>
        <w:rPr>
          <w:rFonts w:ascii="Calibri" w:cs="Calibri" w:eastAsia="Calibri" w:hAnsi="Calibri"/>
          <w:color w:val="1E293B"/>
          <w:sz w:val="22"/>
          <w:szCs w:val="22"/>
        </w:rPr>
        <w:t xml:space="preserve">Slightly, for about 30 days post-cutover. After that, productivity typically improves because there's less dropdown navigation, fewer decisions per ticket, and PI is doing most of the categorization. Track via average-handle-time KPI.</w:t>
      </w:r>
    </w:p>
    <w:p>
      <w:pPr>
        <w:spacing w:after="120"/>
      </w:pPr>
      <w:r>
        <w:rPr>
          <w:rFonts w:ascii="Calibri" w:cs="Calibri" w:eastAsia="Calibri" w:hAnsi="Calibri"/>
          <w:b/>
          <w:bCs/>
          <w:color w:val="1E293B"/>
          <w:sz w:val="22"/>
          <w:szCs w:val="22"/>
        </w:rPr>
        <w:t xml:space="preserve">"Can we keep the legacy categorization for a transition period?"</w:t>
      </w:r>
    </w:p>
    <w:p>
      <w:pPr>
        <w:spacing w:after="120"/>
      </w:pPr>
      <w:r>
        <w:rPr>
          <w:rFonts w:ascii="Calibri" w:cs="Calibri" w:eastAsia="Calibri" w:hAnsi="Calibri"/>
          <w:color w:val="1E293B"/>
          <w:sz w:val="22"/>
          <w:szCs w:val="22"/>
        </w:rPr>
        <w:t xml:space="preserve">Closed records preserve legacy_category as a custom field for audit. New tickets use the OOTB tree only. Running both in parallel for new tickets defeats the realignment and confuses the service desk.</w:t>
      </w:r>
    </w:p>
    <w:p>
      <w:pPr>
        <w:spacing w:after="120"/>
      </w:pPr>
      <w:r>
        <w:rPr>
          <w:rFonts w:ascii="Calibri" w:cs="Calibri" w:eastAsia="Calibri" w:hAnsi="Calibri"/>
          <w:b/>
          <w:bCs/>
          <w:color w:val="1E293B"/>
          <w:sz w:val="22"/>
          <w:szCs w:val="22"/>
        </w:rPr>
        <w:t xml:space="preserve">"What if we discover after cutover that we need a category we didn't anticipate?"</w:t>
      </w:r>
    </w:p>
    <w:p>
      <w:pPr>
        <w:spacing w:after="120"/>
      </w:pPr>
      <w:r>
        <w:rPr>
          <w:rFonts w:ascii="Calibri" w:cs="Calibri" w:eastAsia="Calibri" w:hAnsi="Calibri"/>
          <w:color w:val="1E293B"/>
          <w:sz w:val="22"/>
          <w:szCs w:val="22"/>
        </w:rPr>
        <w:t xml:space="preserve">Standard backlog process. The new tree is configurable; adding a leaf is a Knowledge Manager-level change with light governance, not a Council conversation. The point isn't that the tree is frozen — it's that growth is deliberate, not accumulated drift.</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ECS Federal · ServiceNow Practice  ·  Internal Use Only</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047750" cy="2000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00025"/>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475569"/>
        <w:spacing w:val="30"/>
        <w:sz w:val="18"/>
        <w:szCs w:val="18"/>
      </w:rPr>
      <w:t xml:space="preserve">Internal  ·  Category Stack Realignment Blueprint</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DOCID-202112391-25641</_dlc_DocId>
    <_dlc_DocIdUrl xmlns="ea10e7c1-45f6-45a6-9220-470b2ac38f45">
      <Url>https://itecsfederal.sharepoint.com/teams/MissionSolutions/ISM/_layouts/15/DocIdRedir.aspx?ID=DOCID-202112391-25641</Url>
      <Description>DOCID-202112391-25641</Description>
    </_dlc_DocIdUrl>
  </documentManagement>
</p:properties>
</file>

<file path=customXml/itemProps1.xml><?xml version="1.0" encoding="utf-8"?>
<ds:datastoreItem xmlns:ds="http://schemas.openxmlformats.org/officeDocument/2006/customXml" ds:itemID="{E55C3450-BBBA-40A0-B95B-DDDD66CA5929}"/>
</file>

<file path=customXml/itemProps2.xml><?xml version="1.0" encoding="utf-8"?>
<ds:datastoreItem xmlns:ds="http://schemas.openxmlformats.org/officeDocument/2006/customXml" ds:itemID="{1E4850E9-6D96-47A8-BF95-2FD2184D79A1}"/>
</file>

<file path=customXml/itemProps3.xml><?xml version="1.0" encoding="utf-8"?>
<ds:datastoreItem xmlns:ds="http://schemas.openxmlformats.org/officeDocument/2006/customXml" ds:itemID="{77088178-711F-4ED8-A4BF-0D2ED8D4F0D9}"/>
</file>

<file path=customXml/itemProps4.xml><?xml version="1.0" encoding="utf-8"?>
<ds:datastoreItem xmlns:ds="http://schemas.openxmlformats.org/officeDocument/2006/customXml" ds:itemID="{1CDC6CC0-FBFF-4A7C-8A4A-21CB5452480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Category Stack Realignment Blueprint — Internal</dc:title>
  <dc:creator>ECS Federal · ServiceNow Practice</dc:creator>
  <cp:lastModifiedBy>Un-named</cp:lastModifiedBy>
  <cp:revision>1</cp:revision>
  <dcterms:created xsi:type="dcterms:W3CDTF">2026-05-08T04:36:25Z</dcterms:created>
  <dcterms:modified xsi:type="dcterms:W3CDTF">2026-05-08T04:36:25Z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9bd82439-83ae-40dc-8b97-54a229c79a15</vt:lpwstr>
  </property>
</Properties>
</file>