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2095500" cy="390525"/>
            <wp:effectExtent t="0" r="0" b="0" l="0"/>
            <wp:docPr id="1" name="Logo" descr="Everforth ECS Federal logo" title="Everforth ECS Fed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800"/>
      </w:pPr>
      <w:r>
        <w:rPr>
          <w:rFonts w:ascii="Calibri" w:cs="Calibri" w:eastAsia="Calibri" w:hAnsi="Calibri"/>
          <w:b/>
          <w:bCs/>
          <w:color w:val="14B8A6"/>
          <w:spacing w:val="80"/>
          <w:sz w:val="18"/>
          <w:szCs w:val="18"/>
        </w:rPr>
        <w:t xml:space="preserve">INTERNAL OPERATING GUIDE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B1F3A"/>
          <w:sz w:val="56"/>
          <w:szCs w:val="56"/>
        </w:rPr>
        <w:t xml:space="preserve">Governance Operating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B1F3A"/>
          <w:sz w:val="56"/>
          <w:szCs w:val="56"/>
        </w:rPr>
        <w:t xml:space="preserve">Guide</w:t>
      </w:r>
    </w:p>
    <w:p>
      <w:pPr>
        <w:spacing w:after="480"/>
      </w:pPr>
      <w:r>
        <w:rPr>
          <w:rFonts w:ascii="Calibri" w:cs="Calibri" w:eastAsia="Calibri" w:hAnsi="Calibri"/>
          <w:i/>
          <w:iCs/>
          <w:color w:val="0D9488"/>
          <w:sz w:val="24"/>
          <w:szCs w:val="24"/>
        </w:rPr>
        <w:t xml:space="preserve">How ECS delivers OOTB-first governance: templates, mechanics, two-key SLAs, education and risk containment</w:t>
      </w:r>
    </w:p>
    <w:p>
      <w:pPr>
        <w:pBdr>
          <w:bottom w:val="single" w:color="14B8A6" w:sz="12" w:space="1"/>
        </w:pBdr>
      </w:pPr>
      <w: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i w:val="false"/>
          <w:iCs w:val="false"/>
          <w:color w:val="1E293B"/>
          <w:sz w:val="22"/>
          <w:szCs w:val="22"/>
        </w:rPr>
        <w:t xml:space="preserve">ECS Federal  ·  ServiceNow Practice</w:t>
      </w:r>
    </w:p>
    <w:p>
      <w:pPr>
        <w:spacing w:after="60" w:before="0"/>
      </w:pPr>
      <w:r>
        <w:rPr>
          <w:rFonts w:ascii="Calibri" w:cs="Calibri" w:eastAsia="Calibri" w:hAnsi="Calibri"/>
          <w:i w:val="false"/>
          <w:iCs w:val="false"/>
          <w:color w:val="1E293B"/>
          <w:sz w:val="22"/>
          <w:szCs w:val="22"/>
        </w:rPr>
        <w:t xml:space="preserve">Audience: Engagement Managers, Solution Architects, Practice Lead, Engagement Managers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Internal Use Only · 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titlePg/>
          <w:docGrid w:linePitch="360"/>
        </w:sectPr>
      </w:pP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How to Use This Guide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This Guide is the internal companion to the client-facing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Phase 1 Governance Charter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 The Charter describes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what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we do with the customer; this Guide describes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how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we do it operationally — the templates, SLAs, decision mechanics, education program, and risk-containment levers that make the framework work in practice.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Read order: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Engagement Managers: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Sections 1, 4, 5, 6 — operating model, two-key mechanics, risk containment, escalation.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Solution Architects: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Sections 1, 2, 3 — operating model, deviation lifecycle, recommendation templates.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Practice Lead / Engagement Managers: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Sections 1, 4, 5 — two-key role and SLA, contract risk model, escalation triggers.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All roles: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Section 7 (Education) — what each role learns and when.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1.  The Operating Model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B1F3A"/>
          <w:sz w:val="26"/>
          <w:szCs w:val="26"/>
        </w:rPr>
        <w:t xml:space="preserve">1.1  The Principle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Lead with OOTB; deviate only when business outcomes require it. Make customization the exception, not the default. The principle is the same one stated in the Client Charter — internal alignment is necessary because the team enforces it daily, often when it would be easier not to.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B1F3A"/>
          <w:sz w:val="26"/>
          <w:szCs w:val="26"/>
        </w:rPr>
        <w:t xml:space="preserve">1.2  The Five Levers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OOTB-first depends on five operational levers that the team uses every day. Without all five, the principle erodes.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680"/>
        <w:gridCol w:w="2520"/>
      </w:tblGrid>
      <w:tr>
        <w:trPr>
          <w:tblHeader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Lever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Rule of Three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Triage filter: Configuration / UI Policy / Flow Designer first.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Solution Architect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Deviation Lifecycle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Standard six-stage process for any deviation from OOTB.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Solution Architect + Engagement Manager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Two-Key Decision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Dual approval (Sponsor business need + ECS Practice technical path).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Practice Lead + Sponsor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Governance Triage Log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Single source of truth for all OOTB-compliance decisions.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Engagement Manager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PCR Triggers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Contractual safety valves; raised early, not absorbed.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Engagement Manager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2.  The Deviation Lifecycle — Operational Detail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lifecycle in the Client Charter is the public face. The version below adds the internal mechanics: who does what, against what SLA, with what artifact.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3060"/>
        <w:gridCol w:w="4680"/>
      </w:tblGrid>
      <w:tr>
        <w:trPr>
          <w:tblHeader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SLA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Tools / Artifacts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1. Surface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Logged within 24 hours of being raised.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Governance Triage Log entry created.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2. Triage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Solution Architect classifies within 24 hours.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Rule of Three checklist; Triage Log updated with classification.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3. Document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Solution Architect drafts impact assessment within 48 hours of classification.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OOTB Alternative Analysis + Business Outcome Alignment + Contract Risk Assessment templates (see Section 3).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4. Recommend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Recommendation included in impact assessment.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Recommendation logged in Triage Log.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5. Decide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Two-key decision within 48 hours of impact assessment publication.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Council meeting (if required) or async two-key process.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6. Route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Outcome routed within 24 hours of decision.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Sprint backlog (if approved), product backlog (if deferred), or PCR document (if PCR-triggered).</w:t>
            </w:r>
          </w:p>
        </w:tc>
      </w:tr>
    </w:tbl>
    <w:p>
      <w:r>
        <w:t xml:space="preserve"> 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Total wall-clock time from surface to decision: 5 business days max. If a decision is needed faster (because it is blocking active sprint work), the Solution Architect flags it as urgent and the SLAs compress to 24-hour total.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3.  Recommendation Templates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Every Customization Request comes with three completed templates. The Solution Architect writes them; the first two are shared with the customer; the third is internal-only.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B1F3A"/>
          <w:sz w:val="26"/>
          <w:szCs w:val="26"/>
        </w:rPr>
        <w:t xml:space="preserve">3.1  OOTB Alternative Analysis (Shared)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Demonstrates the team has genuinely considered OOTB before recommending a deviation.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3060"/>
        <w:gridCol w:w="4320"/>
      </w:tblGrid>
      <w:tr>
        <w:trPr>
          <w:tblHeader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Request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What the customer asked for, in their words.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"We need a 7-step approval workflow for change requests with conditional routing based on requester level."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OOTB Capability Reviewed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Which OOTB feature was evaluated.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Standard Change Approval Policy + Risk Assessment workflow + CAB Workbench.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What OOTB Does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Plain-language description of the OOTB capability.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OOTB delivers risk-scored approvals (Standard, Normal, Emergency) with optional CAB review for non-Standard. Approval routing uses Approval Definitions tied to assignment groups.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What OOTB Does Not Do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Specific gap relative to the request.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OOTB does not natively support requester-level-based routing; a requester-level field would need to feed an Approval Definition.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Configuration Path Considered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Did Configuration / UI Policy / Flow Designer close the gap?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Yes — a Decision Table can route based on a requester-level reference field; a Flow Designer flow can update the Approval Definition selection. No custom code required.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Recommendation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Build OOTB / Configure / Defer / Council.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Configure — no deviation needed. Build using Decision Table + Flow Designer in Sprint 4.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B1F3A"/>
          <w:sz w:val="26"/>
          <w:szCs w:val="26"/>
        </w:rPr>
        <w:t xml:space="preserve">3.2  Business Outcome Alignment (Shared)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Forces the recommendation to be evaluated against the customer's actual outcome, not against the implementation request.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3060"/>
        <w:gridCol w:w="4320"/>
      </w:tblGrid>
      <w:tr>
        <w:trPr>
          <w:tblHeader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Stated Outcome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The business outcome the customer is trying to achieve.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Reduce average change-approval cycle time from 5 days to 2 days while maintaining audit trail.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Implicit Outcome (if different)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The outcome behind the request that the customer may not have stated.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Speed up change approvals because IT changes are blocking business projects.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How OOTB Serves the Outcome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The OOTB capability's contribution to the outcome.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Standard Change Approval Policy auto-approves low-risk changes (40-50% of CHGs) instantly; Risk Assessment routes the rest based on calculated risk score; CAB Workbench eliminates manual CAB scheduling overhead. Net: average cycle time projected to drop to &lt;2 days for low-risk, ~3 days for medium-risk.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How the Requested Approach Serves the Outcome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Whether the customer's specific request actually serves the underlying outcome better than OOTB.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The 7-step workflow encodes existing process — but does not actually reduce cycle time. It preserves the legacy approach. Cycle time would improve more by adopting risk-based approvals than by replicating the legacy workflow.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Recommendation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Recommendation framed against business outcome.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Adopt OOTB Standard Change Approval Policy. Frame the conversation with the Sponsor as: "Your outcome is faster cycle time; OOTB delivers it; the legacy 7-step workflow does not."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B1F3A"/>
          <w:sz w:val="26"/>
          <w:szCs w:val="26"/>
        </w:rPr>
        <w:t xml:space="preserve">3.3  Contract Risk Assessment (Internal Only)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internal-only template that protects the engagement. The Solution Architect completes this for every Customization Request before the two-key decision.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3060"/>
        <w:gridCol w:w="4320"/>
      </w:tblGrid>
      <w:tr>
        <w:trPr>
          <w:tblHeader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PCR Trigger Status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Does this fire any of the six SOW PCR triggers?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 — fits within Rule of Three (Decision Table + Flow Designer). No PCR trigger.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Cumulative Customization Count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Including this request if approved.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Currently 2 of 5 approved. This would not be a customization.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Upgrade-Safety Impact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Specific upgrade impact assessment.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None — uses OOTB Decision Tables which are upgrade-safe by design.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Cross-Workstream Impact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Does this affect other in-scope workstreams?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 — Change is self-contained for this request.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Maintenance Burden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Long-term maintenance implication for Connection.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Low — Decision Tables and Flow Designer flows are configured, not coded.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Estimated Build Cost (sprint days)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Internal estimate for sprint planning.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1.5 sprint days (1 day build, 0.5 day test).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Risk if Approved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What can go wrong if this is approved.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Low. Decision Table updates may need to be made if Connection's level-routing rules change.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Risk if Deferred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What can go wrong if this is deferred.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Medium. Sponsor may push back if the Standard Change Approval Policy change feels unfamiliar — pre-brief recommended.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4.  The Two-Key Decision Mechanics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B1F3A"/>
          <w:sz w:val="26"/>
          <w:szCs w:val="26"/>
        </w:rPr>
        <w:t xml:space="preserve">4.1 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520"/>
        <w:gridCol w:w="2160"/>
        <w:gridCol w:w="2520"/>
      </w:tblGrid>
      <w:tr>
        <w:trPr>
          <w:tblHeader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Approves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They Look For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First Key — Business Need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Connection Project Sponsor (or named delegate)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Whether the deviation addresses a genuine business need.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Material business outcome, not preference. Worth the maintenance burden. Aligned with current priorities.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Second Key — Technical Path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ECS Practice Lead (Practice Lead or designated Engagement Manager — outside the engagement's daily team)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Whether OOTB genuinely cannot meet the need and the proposed approach is the right path.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OOTB alternatives genuinely exhausted. Approach upgrade-safe. No downstream impact missed.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B1F3A"/>
          <w:sz w:val="26"/>
          <w:szCs w:val="26"/>
        </w:rPr>
        <w:t xml:space="preserve">4.2  When Tim or the EM Takes the Second 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Engagement Manager (EM) handles by default.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Routine Customization Requests within scope, no PCR trigger, cumulative count below 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Tim (Practice Lead) takes the second key on: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(a) any request where the Sponsor's body language suggests pushback, (b) any structural deviation (custom table, protected baseline modification), (c) any request that would push cumulative customization count to 4 or above, (d) any request the EM flags for senior review.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B1F3A"/>
          <w:sz w:val="26"/>
          <w:szCs w:val="26"/>
        </w:rPr>
        <w:t xml:space="preserve">4.3  SLAs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2520"/>
        <w:gridCol w:w="2520"/>
      </w:tblGrid>
      <w:tr>
        <w:trPr>
          <w:tblHeader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SLA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Solution Architect submits impact assessment to Sponsor and Practice Lead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Same day as completion (within 48 hrs of triage).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Solution Architect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Sponsor decision (first key)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Within 24 hours of submission.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Sponsor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Practice Lead decision (second key)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Within 24 hours of Sponsor decision.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Practice Lead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Outcome logged in Triage Log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Within 24 hours of two-key decision.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Engagement Manager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B1F3A"/>
          <w:sz w:val="26"/>
          <w:szCs w:val="26"/>
        </w:rPr>
        <w:t xml:space="preserve">4.4  When the Two Keys Disagree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Disagreement is expected occasionally and is not a failure mode. The reconciliation path: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If Sponsor approves but Practice rejects → Solution Architect drafts a revised approach (e.g., narrower scope, different OOTB pattern). Re-submitted within 48 hrs.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If Sponsor rejects but Practice approves → request is rejected (the deviation is not built). Logged with Sponsor rationale.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If both reject → request is rejected; Engagement Manager has follow-up conversation with Sponsor to understand business need and route to backlog or descope conversation.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B1F3A"/>
          <w:sz w:val="26"/>
          <w:szCs w:val="26"/>
        </w:rPr>
        <w:t xml:space="preserve">4.5  When the Practice Lead Should Override the Solution Architect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Practice Lead's job is to back the Solution Architect's recommendation 90%+ of the time. The 10% where the Practice overrides should: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Have a clear, documented rationale.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Include a learning conversation with the Solution Architect, not a reversal in front of the customer.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Update either the Solution Architect's understanding (coaching) or the recommendation templates (process improvement).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If the Practice Lead is overriding more than 10% of the time, the Solution Architect needs coaching, not the recommendations need overriding.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5.  Risk Containment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B1F3A"/>
          <w:sz w:val="26"/>
          <w:szCs w:val="26"/>
        </w:rPr>
        <w:t xml:space="preserve">5.1  Cumulative Customization Counter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2520"/>
        <w:gridCol w:w="3780"/>
      </w:tblGrid>
      <w:tr>
        <w:trPr>
          <w:tblHeader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Cumulative Count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Required Action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7857"/>
                <w:sz w:val="20"/>
                <w:szCs w:val="20"/>
              </w:rPr>
              <w:t xml:space="preserve">0–3 approved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Green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Standard process. Two-key decisions only.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4–5 approved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Yellow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Engagement Manager notifies Practice Lead weekly. Review trajectory.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6 or more approved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Mandatory PCR conversation with Sponsor. Three options framed: descope, accept PCR, reverse most recent approvals.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B1F3A"/>
          <w:sz w:val="26"/>
          <w:szCs w:val="26"/>
        </w:rPr>
        <w:t xml:space="preserve">5.2  PCR Triggers (from the SOW)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Six contractual triggers. Each one fires immediate Engagement Manager awareness; the script for raising each is in the SOW Section 2.3.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Custom scripting / protected baseline modification.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Custom tables outside CSDM.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Customer dependency missed by Sprint 0/1.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Customer SME unavailable for in-scope integration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Third-party integration not in original SOW.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Cumulative customization count exceeds 5.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B1F3A"/>
          <w:sz w:val="26"/>
          <w:szCs w:val="26"/>
        </w:rPr>
        <w:t xml:space="preserve">5.3  Definition of Done — Internal Gates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 addition to the contractual DoD, every story passes through internal operational gates before sprint sign-off: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Update set documented and named per the engagement's update-set convention.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Code/configuration peer-reviewed by the Solution Architect or designated reviewer.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Unit or smoke test executed and passing.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Integration touchpoints exercised in sub-prod (if the story touches integrations).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 P1 defects open against the 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Demo recorded for the customer's Sprint Review.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B1F3A"/>
          <w:sz w:val="26"/>
          <w:szCs w:val="26"/>
        </w:rPr>
        <w:t xml:space="preserve">5.4  Engagement Health Metrics — Weekly Report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Engagement Managers send the following weekly to Practice Management: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1680"/>
        <w:gridCol w:w="1680"/>
        <w:gridCol w:w="1680"/>
      </w:tblGrid>
      <w:tr>
        <w:trPr>
          <w:tblHeader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Green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Yellow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Red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Customization Count (cumulative)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≤3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4–5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≥6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OOTB Adoption Rate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≥90%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80–89%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&lt;80%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Sprint Velocity (3-sprint avg)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≥90%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75–89%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&lt;75%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Defect Trend (open P1+P2)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Decreasing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Flat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Increasing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Dependency Slip Count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1–2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≥3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PCR Triggers Fired (cumulative)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0–1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2–3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≥4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Workshop Sign-off Rate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≥90%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75–89%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&lt;75%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Customer Satisfaction (sprint review)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≥8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6–7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≤5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B1F3A"/>
          <w:sz w:val="26"/>
          <w:szCs w:val="26"/>
        </w:rPr>
        <w:t xml:space="preserve">5.5  Mandatory Escalation Triggers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Same-day escalation to Practice Management, regardless of weekly cadence: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First Council vote where the ECS Solution Architect is overridden by the Sponsor.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First time a PCR trigger fires (the trigger event, not the PCR being raised).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First time velocity drops below 75% for a single sprint.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Any explicit Sponsor pushback on the OOTB-first principle.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Any dependency slip beyond Day +5 without resolution.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Any team member raising engagement viability concerns in retro.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6.  Customer-Facing Posture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How the team talks about governance with the customer matters as much as how it operates internally. The framing below is consistent across all customer touchpoints.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B1F3A"/>
          <w:sz w:val="26"/>
          <w:szCs w:val="26"/>
        </w:rPr>
        <w:t xml:space="preserve">6.1  How to Frame the Two-Key Model</w:t>
      </w:r>
    </w:p>
    <w:p>
      <w:pPr>
        <w:pBdr>
          <w:left w:val="single" w:color="14B8A6" w:sz="12" w:space="8"/>
        </w:pBdr>
        <w:spacing w:after="120" w:before="80"/>
        <w:ind w:left="360" w:right="360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"Customization decisions go through both your Sponsor and our Practice Lead. Your Sponsor confirms the business need; our Practice confirms the technical path is right. It's how we make sure customizations are genuinely needed and built to be upgrade-safe — protecting your investment in this platform long-term."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B1F3A"/>
          <w:sz w:val="26"/>
          <w:szCs w:val="26"/>
        </w:rPr>
        <w:t xml:space="preserve">6.2  How to Talk About 'No'</w:t>
      </w:r>
    </w:p>
    <w:p>
      <w:pPr>
        <w:pBdr>
          <w:left w:val="single" w:color="14B8A6" w:sz="12" w:space="8"/>
        </w:pBdr>
        <w:spacing w:after="120" w:before="80"/>
        <w:ind w:left="360" w:right="360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"Let's walk the decision framework together. We're not saying no — we're checking whether OOTB delivers the outcome, whether configuration can close the gap, and whether the deviation is worth the long-term burden. Most of the time we end at 'yes, configured this way.'"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B1F3A"/>
          <w:sz w:val="26"/>
          <w:szCs w:val="26"/>
        </w:rPr>
        <w:t xml:space="preserve">6.3  How to Raise a PCR</w:t>
      </w:r>
    </w:p>
    <w:p>
      <w:pPr>
        <w:pBdr>
          <w:left w:val="single" w:color="14B8A6" w:sz="12" w:space="8"/>
        </w:pBdr>
        <w:spacing w:after="120" w:before="80"/>
        <w:ind w:left="360" w:right="360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"We want to deliver [scope] by [date]. [Specific dependency or scope item] is needed for that. Three options: (1) get it back on track, (2) descope X, or (3) PCR for [time/budget]. Which works for you?"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B1F3A"/>
          <w:sz w:val="26"/>
          <w:szCs w:val="26"/>
        </w:rPr>
        <w:t xml:space="preserve">6.4  How to Defer to Backlog</w:t>
      </w:r>
    </w:p>
    <w:p>
      <w:pPr>
        <w:pBdr>
          <w:left w:val="single" w:color="14B8A6" w:sz="12" w:space="8"/>
        </w:pBdr>
        <w:spacing w:after="120" w:before="80"/>
        <w:ind w:left="360" w:right="360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"That's a good thought — let me capture it in the backlog so we can prioritize against everything else. Phase 2 is when the items in this backlog get built, with sponsor input on what makes the cut."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7.  Education Program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B1F3A"/>
          <w:sz w:val="26"/>
          <w:szCs w:val="26"/>
        </w:rPr>
        <w:t xml:space="preserve">7.1  Client Education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3780"/>
        <w:gridCol w:w="1620"/>
        <w:gridCol w:w="2340"/>
      </w:tblGrid>
      <w:tr>
        <w:trPr>
          <w:tblHeader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When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Activity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Outcome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Sprint 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Governance Onboarding session — walk through the Charter end-to-end with Sponsor and named stakeholders.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60 minutes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Client understands the framework and signs the Charter.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Before each workshop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Workshop Pre-Brief — covers OOTB pattern about to be demonstrated and decisions in scope.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15 minutes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Decisions are pre-warmed; workshop time is decision time, not introduction time.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Monthly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Triage Log Review — Sponsor sees what's been raised, decided, deferred, escalated.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30 minutes (within Sponsor sync)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Trust through transparency.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End of Phase 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Lessons-learned debrief and Charter refresh for Phase 2.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90 minutes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Phase 2 starts with shared understanding.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B1F3A"/>
          <w:sz w:val="26"/>
          <w:szCs w:val="26"/>
        </w:rPr>
        <w:t xml:space="preserve">7.2  Team Education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240"/>
        <w:gridCol w:w="1620"/>
        <w:gridCol w:w="2160"/>
      </w:tblGrid>
      <w:tr>
        <w:trPr>
          <w:tblHeader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When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Activity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Outcome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New Solution Architect onboarding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Walkthrough of operating model, templates, decision tree, two-key mechanics. Shadow one Council before solo.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90 minutes + shadow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Solution Architect can run the framework solo.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New Process Consultant onboarding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Workshop facilitation pattern, rebuttal scripts, sign-off criteria. Co-facilitate one workshop with peer review.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90 minutes + co-facilitate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Facilitator runs OOTB-first workshops consistently.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All-team monthly pattern share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Cross-engagement learning — what's coming up, what's working, what isn't.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30 minutes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Practice learns, not just delivers.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Quarterly Practice Review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Lessons learned review; metric calibration; Charter and Operating Guide updates.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90 minutes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Frameworks stay current.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8.  Quick Reference — Day-One Cheat Sheet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For the team member who needs the framework on a single page.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If you hear a deviation request: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Apply Rule of Three. If Configuration / UI Policy / Flow Designer can do it → no deviation.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If true deviation → log in Triage Log within 24 hrs.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Solution Architect writes 3 templates within 48 hrs (OOTB Alternative, Business Outcome, Contract Risk).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Two-key decision within 48 hrs (Sponsor + Practice Lead).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Route: build / backlog / PCR. Log decision.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If a customer dependency slips: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Day +1: Solution Architect/Process Consultant raises in standup, logs in tracker, notifies Connection PM.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Day +3: Engagement Manager has soft conversation with Connection PM.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Day +5: Engagement Manager has formal Sponsor conversation, three options framed.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Day +7: PCR formally raised if not resolved.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If you hit a yellow or red metric: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Notify Practice Management same day.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Monday 1:1 with Practice Management to plan response.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Document mitigation in Triage Log.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If you're not sure whether to escalate:</w:t>
      </w:r>
    </w:p>
    <w:p>
      <w:pPr>
        <w:pBdr>
          <w:left w:val="single" w:color="14B8A6" w:sz="12" w:space="8"/>
        </w:pBdr>
        <w:spacing w:after="120" w:before="80"/>
        <w:ind w:left="360" w:right="360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"Ask: "Will I regret this in two weeks if I don't raise it now?" If yes, raise it now."</w:t>
      </w:r>
    </w:p>
    <w:sectPr>
      <w:headerReference w:type="default" r:id="rId7"/>
      <w:footerReference w:type="default" r:id="rId8"/>
      <w:pgSz w:w="12240" w:h="15840" w:orient="portrait"/>
      <w:pgMar w:top="1620" w:right="1440" w:bottom="1440" w:left="1440" w:header="720" w:footer="57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alibri" w:cs="Calibri" w:eastAsia="Calibri" w:hAnsi="Calibri"/>
        <w:color w:val="475569"/>
        <w:sz w:val="16"/>
        <w:szCs w:val="16"/>
      </w:rPr>
      <w:t xml:space="preserve">ECS Federal · ServiceNow Practice  ·  Internal Use Only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475569"/>
        <w:sz w:val="16"/>
        <w:szCs w:val="16"/>
      </w:rPr>
      <w:t xml:space="preserve">Page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drawing>
        <wp:inline distT="0" distB="0" distL="0" distR="0">
          <wp:extent cx="1047750" cy="200025"/>
          <wp:effectExtent t="0" r="0" b="0" l="0"/>
          <wp:docPr id="1" name="Logo" descr="Everforth ECS Federal logo" title="Everforth ECS Feder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200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475569"/>
        <w:spacing w:val="30"/>
        <w:sz w:val="18"/>
        <w:szCs w:val="18"/>
      </w:rPr>
      <w:t xml:space="preserve">Internal  ·  Governance Operating Guide</w:t>
    </w:r>
  </w:p>
  <w:p>
    <w:pPr>
      <w:pBdr>
        <w:bottom w:val="single" w:color="14B8A6" w:sz="8" w:space="1"/>
      </w:pBdr>
      <w:spacing w:before="60"/>
    </w:pPr>
    <w:r>
      <w:rPr>
        <w:sz w:val="4"/>
        <w:szCs w:val="4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0B1F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0D94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endnotes" Target="endnotes.xml"/><Relationship Id="rId9" Type="http://schemas.openxmlformats.org/officeDocument/2006/relationships/image" Target="media/154846f4066746b49259fb08f2a83d17c2a67096.png"/><Relationship Id="rId14" Type="http://schemas.openxmlformats.org/officeDocument/2006/relationships/customXml" Target="../customXml/item4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54846f4066746b49259fb08f2a83d17c2a67096.png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18AF536E63484A9B73CECC96E010FF" ma:contentTypeVersion="19" ma:contentTypeDescription="Create a new document." ma:contentTypeScope="" ma:versionID="33422ae79d2a315b8c303e9c27e5a991">
  <xsd:schema xmlns:xsd="http://www.w3.org/2001/XMLSchema" xmlns:xs="http://www.w3.org/2001/XMLSchema" xmlns:p="http://schemas.microsoft.com/office/2006/metadata/properties" xmlns:ns2="d1ffb523-bb88-49c4-b429-725e751bd64a" xmlns:ns3="ea10e7c1-45f6-45a6-9220-470b2ac38f45" targetNamespace="http://schemas.microsoft.com/office/2006/metadata/properties" ma:root="true" ma:fieldsID="02f734f998161832bfcf327b16e32379" ns2:_="" ns3:_="">
    <xsd:import namespace="d1ffb523-bb88-49c4-b429-725e751bd64a"/>
    <xsd:import namespace="ea10e7c1-45f6-45a6-9220-470b2ac38f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SN_x0020_Document_x0020_ID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3:_dlc_DocId" minOccurs="0"/>
                <xsd:element ref="ns3:_dlc_DocIdUrl" minOccurs="0"/>
                <xsd:element ref="ns3:_dlc_DocIdPersistId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fb523-bb88-49c4-b429-725e751bd6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SN_x0020_Document_x0020_ID" ma:index="19" nillable="true" ma:displayName="SN Document ID" ma:internalName="SN_x0020_Document_x0020_ID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4d9e1cf0-734a-42bd-bffb-729eb9a511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10e7c1-45f6-45a6-9220-470b2ac38f4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d7da812-b143-4bf6-b650-654521c20479}" ma:internalName="TaxCatchAll" ma:showField="CatchAllData" ma:web="ea10e7c1-45f6-45a6-9220-470b2ac38f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N_x0020_Document_x0020_ID xmlns="d1ffb523-bb88-49c4-b429-725e751bd64a" xsi:nil="true"/>
    <TaxCatchAll xmlns="ea10e7c1-45f6-45a6-9220-470b2ac38f45" xsi:nil="true"/>
    <lcf76f155ced4ddcb4097134ff3c332f xmlns="d1ffb523-bb88-49c4-b429-725e751bd64a">
      <Terms xmlns="http://schemas.microsoft.com/office/infopath/2007/PartnerControls"/>
    </lcf76f155ced4ddcb4097134ff3c332f>
    <_dlc_DocId xmlns="ea10e7c1-45f6-45a6-9220-470b2ac38f45">DOCID-202112391-25586</_dlc_DocId>
    <_dlc_DocIdUrl xmlns="ea10e7c1-45f6-45a6-9220-470b2ac38f45">
      <Url>https://itecsfederal.sharepoint.com/teams/MissionSolutions/ISM/_layouts/15/DocIdRedir.aspx?ID=DOCID-202112391-25586</Url>
      <Description>DOCID-202112391-25586</Description>
    </_dlc_DocIdUrl>
  </documentManagement>
</p:properties>
</file>

<file path=customXml/itemProps1.xml><?xml version="1.0" encoding="utf-8"?>
<ds:datastoreItem xmlns:ds="http://schemas.openxmlformats.org/officeDocument/2006/customXml" ds:itemID="{F7851FDB-ABAB-4EA6-B4E1-1B7C744C21A1}"/>
</file>

<file path=customXml/itemProps2.xml><?xml version="1.0" encoding="utf-8"?>
<ds:datastoreItem xmlns:ds="http://schemas.openxmlformats.org/officeDocument/2006/customXml" ds:itemID="{C60C4C46-BC6E-4977-9F7D-1799A9D56C4B}"/>
</file>

<file path=customXml/itemProps3.xml><?xml version="1.0" encoding="utf-8"?>
<ds:datastoreItem xmlns:ds="http://schemas.openxmlformats.org/officeDocument/2006/customXml" ds:itemID="{FCD85C5A-AF00-49C4-B2D9-3023B1C29B5C}"/>
</file>

<file path=customXml/itemProps4.xml><?xml version="1.0" encoding="utf-8"?>
<ds:datastoreItem xmlns:ds="http://schemas.openxmlformats.org/officeDocument/2006/customXml" ds:itemID="{E53CF8F6-9AA2-4C04-97A7-D3EFF5C94067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Governance Operating Guide</dc:title>
  <dc:creator>ECS Federal · ServiceNow Practice</dc:creator>
  <cp:lastModifiedBy>Un-named</cp:lastModifiedBy>
  <cp:revision>1</cp:revision>
  <dcterms:created xsi:type="dcterms:W3CDTF">2026-05-03T03:16:58Z</dcterms:created>
  <dcterms:modified xsi:type="dcterms:W3CDTF">2026-05-03T03:16:58Z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0x010100DC18AF536E63484A9B73CECC96E010FF</vt:lpwstr>
  </property>
  <property fmtid="{D5CDD505-2E9C-101B-9397-08002B2CF9AE}" pid="3" name="_dlc_DocIdItemGuid">
    <vt:lpwstr>9525643a-6eec-4a40-8724-5b2995ac1026</vt:lpwstr>
  </property>
</Properties>
</file>