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mc:Ignorable="w14 w15 wp14">
  <w:body>
    <w:p xmlns:wp14="http://schemas.microsoft.com/office/word/2010/wordml" w14:paraId="672A6659" wp14:textId="77777777">
      <w:pPr>
        <w:jc w:val="left"/>
      </w:pPr>
      <w:r>
        <w:drawing>
          <wp:inline xmlns:wp14="http://schemas.microsoft.com/office/word/2010/wordprocessingDrawing" distT="0" distB="0" distL="0" distR="0" wp14:anchorId="3072942C" wp14:editId="7777777">
            <wp:extent cx="2095500" cy="390525"/>
            <wp:effectExtent l="0" t="0" r="0" b="0"/>
            <wp:docPr id="1" name="Logo" descr="Everforth ECS Federal logo" title="Everforth ECS Fede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95500" cy="390525"/>
                    </a:xfrm>
                    <a:prstGeom prst="rect">
                      <a:avLst/>
                    </a:prstGeom>
                  </pic:spPr>
                </pic:pic>
              </a:graphicData>
            </a:graphic>
          </wp:inline>
        </w:drawing>
      </w:r>
    </w:p>
    <w:p xmlns:wp14="http://schemas.microsoft.com/office/word/2010/wordml" w14:paraId="085CDFE6" wp14:textId="77777777">
      <w:pPr>
        <w:spacing w:before="1800" w:after="240"/>
      </w:pPr>
      <w:r>
        <w:rPr>
          <w:rFonts w:ascii="Calibri" w:hAnsi="Calibri" w:eastAsia="Calibri" w:cs="Calibri"/>
          <w:b/>
          <w:bCs/>
          <w:color w:val="14B8A6"/>
          <w:spacing w:val="80"/>
          <w:sz w:val="18"/>
          <w:szCs w:val="18"/>
        </w:rPr>
        <w:t xml:space="preserve">WHITE PAPER</w:t>
      </w:r>
    </w:p>
    <w:p xmlns:wp14="http://schemas.microsoft.com/office/word/2010/wordml" w14:paraId="14DE8335" wp14:textId="77777777">
      <w:pPr>
        <w:spacing w:after="120"/>
      </w:pPr>
      <w:r>
        <w:rPr>
          <w:rFonts w:ascii="Calibri" w:hAnsi="Calibri" w:eastAsia="Calibri" w:cs="Calibri"/>
          <w:b/>
          <w:bCs/>
          <w:color w:val="0B1F3A"/>
          <w:sz w:val="56"/>
          <w:szCs w:val="56"/>
        </w:rPr>
        <w:t xml:space="preserve">Categorization, the</w:t>
      </w:r>
    </w:p>
    <w:p xmlns:wp14="http://schemas.microsoft.com/office/word/2010/wordml" w14:paraId="129179F6" wp14:textId="77777777">
      <w:pPr>
        <w:spacing w:after="120"/>
      </w:pPr>
      <w:r>
        <w:rPr>
          <w:rFonts w:ascii="Calibri" w:hAnsi="Calibri" w:eastAsia="Calibri" w:cs="Calibri"/>
          <w:b/>
          <w:bCs/>
          <w:color w:val="0B1F3A"/>
          <w:sz w:val="56"/>
          <w:szCs w:val="56"/>
        </w:rPr>
        <w:t xml:space="preserve">CMDB, and the Path Forward</w:t>
      </w:r>
    </w:p>
    <w:p xmlns:wp14="http://schemas.microsoft.com/office/word/2010/wordml" w14:paraId="097B077E" wp14:textId="77777777">
      <w:pPr>
        <w:spacing w:after="480"/>
      </w:pPr>
      <w:r>
        <w:rPr>
          <w:rFonts w:ascii="Calibri" w:hAnsi="Calibri" w:eastAsia="Calibri" w:cs="Calibri"/>
          <w:i/>
          <w:iCs/>
          <w:color w:val="0D9488"/>
          <w:sz w:val="24"/>
          <w:szCs w:val="24"/>
        </w:rPr>
        <w:t xml:space="preserve">Why a smaller, smarter category structure is the foundation for AI, scalability, and your long-term ServiceNow investment</w:t>
      </w:r>
    </w:p>
    <w:p xmlns:wp14="http://schemas.microsoft.com/office/word/2010/wordml" w14:paraId="0A37501D" wp14:textId="77777777">
      <w:pPr>
        <w:pBdr>
          <w:bottom w:val="single" w:color="14B8A6" w:sz="12" w:space="1"/>
        </w:pBdr>
      </w:pPr>
      <w:r/>
    </w:p>
    <w:p xmlns:wp14="http://schemas.microsoft.com/office/word/2010/wordml" w14:paraId="3382BB3F" wp14:textId="77777777">
      <w:pPr>
        <w:spacing w:before="200" w:after="60"/>
      </w:pPr>
      <w:r w:rsidRPr="5BBAEF96" w:rsidR="5BBAEF96">
        <w:rPr>
          <w:rFonts w:ascii="Calibri" w:hAnsi="Calibri" w:eastAsia="Calibri" w:cs="Calibri"/>
          <w:i w:val="0"/>
          <w:iCs w:val="0"/>
          <w:color w:val="1E293B"/>
          <w:sz w:val="22"/>
          <w:szCs w:val="22"/>
          <w:lang w:val="en-US"/>
        </w:rPr>
        <w:t>ECS Federal  ·  ServiceNow Practice</w:t>
      </w:r>
    </w:p>
    <w:p xmlns:wp14="http://schemas.microsoft.com/office/word/2010/wordml" w14:paraId="695AA3FE" wp14:textId="77777777">
      <w:pPr>
        <w:spacing w:before="0" w:after="60"/>
      </w:pPr>
      <w:r>
        <w:rPr>
          <w:rFonts w:ascii="Calibri" w:hAnsi="Calibri" w:eastAsia="Calibri" w:cs="Calibri"/>
          <w:i w:val="false"/>
          <w:iCs w:val="false"/>
          <w:color w:val="1E293B"/>
          <w:sz w:val="22"/>
          <w:szCs w:val="22"/>
        </w:rPr>
        <w:t xml:space="preserve">Audience: ITSM Process Owners, Service Desk Leadership, IT Operations Leaders</w:t>
      </w:r>
    </w:p>
    <w:p xmlns:wp14="http://schemas.microsoft.com/office/word/2010/wordml" w14:paraId="48C56C50" wp14:textId="77777777">
      <w:pPr>
        <w:spacing w:before="0" w:after="60"/>
      </w:pPr>
      <w:r>
        <w:rPr>
          <w:rFonts w:ascii="Calibri" w:hAnsi="Calibri" w:eastAsia="Calibri" w:cs="Calibri"/>
          <w:i/>
          <w:iCs/>
          <w:color w:val="475569"/>
          <w:sz w:val="18"/>
          <w:szCs w:val="18"/>
        </w:rPr>
        <w:t xml:space="preserve">Confidential — for the recipient and their organization</w:t>
      </w:r>
    </w:p>
    <w:p xmlns:wp14="http://schemas.microsoft.com/office/word/2010/wordml" w14:paraId="5DAB6C7B" wp14:textId="77777777">
      <w:pPr>
        <w:sectPr>
          <w:pgSz w:w="12240" w:h="15840" w:orient="portrait"/>
          <w:pgMar w:top="1440" w:right="1440" w:bottom="1440" w:left="1440" w:header="708" w:footer="708" w:gutter="0"/>
          <w:pgNumType/>
          <w:titlePg/>
          <w:docGrid w:linePitch="360"/>
          <w:cols w:num="1"/>
        </w:sectPr>
      </w:pPr>
    </w:p>
    <w:p xmlns:wp14="http://schemas.microsoft.com/office/word/2010/wordml" w14:paraId="1C6862BA" wp14:textId="77777777">
      <w:pPr>
        <w:pStyle w:val="Heading1"/>
        <w:spacing w:before="360" w:after="180"/>
      </w:pPr>
      <w:r>
        <w:rPr>
          <w:rFonts w:ascii="Calibri" w:hAnsi="Calibri" w:eastAsia="Calibri" w:cs="Calibri"/>
          <w:b/>
          <w:bCs/>
          <w:color w:val="0B1F3A"/>
          <w:sz w:val="32"/>
          <w:szCs w:val="32"/>
        </w:rPr>
        <w:t xml:space="preserve">Why We Wrote This</w:t>
      </w:r>
    </w:p>
    <w:p xmlns:wp14="http://schemas.microsoft.com/office/word/2010/wordml" w14:paraId="0F05D3BB" wp14:textId="77777777">
      <w:pPr>
        <w:spacing w:after="120"/>
      </w:pPr>
      <w:r w:rsidRPr="5BBAEF96" w:rsidR="5BBAEF96">
        <w:rPr>
          <w:rFonts w:ascii="Calibri" w:hAnsi="Calibri" w:eastAsia="Calibri" w:cs="Calibri"/>
          <w:color w:val="1E293B"/>
          <w:sz w:val="22"/>
          <w:szCs w:val="22"/>
          <w:lang w:val="en-US"/>
        </w:rPr>
        <w:t>If your IT team is preparing for a ServiceNow reimplementation, one conversation will come up early and matter more than most: what to do with the category structure you've built over the past several years. The dropdowns, the four-and-five-level hierarchies, the hundreds (or thousands) of category-subcategory paths — they didn't grow that way by accident. They grew because they had to. They were doing important work that your platform at the time couldn't do any other way.</w:t>
      </w:r>
    </w:p>
    <w:p xmlns:wp14="http://schemas.microsoft.com/office/word/2010/wordml" w14:paraId="054EDD5B" wp14:textId="77777777">
      <w:pPr>
        <w:spacing w:after="120"/>
      </w:pPr>
      <w:r w:rsidRPr="5BBAEF96" w:rsidR="5BBAEF96">
        <w:rPr>
          <w:rFonts w:ascii="Calibri" w:hAnsi="Calibri" w:eastAsia="Calibri" w:cs="Calibri"/>
          <w:color w:val="1E293B"/>
          <w:sz w:val="22"/>
          <w:szCs w:val="22"/>
          <w:lang w:val="en-US"/>
        </w:rPr>
        <w:t>This paper exists because the conversation about realigning that structure is uncomfortable, and the discomfort is rational. It feels, on first description, like discarding years of careful operational work. It is not. It is a different question entirely: now that ServiceNow has substantially different capabilities than it had three or five or ten years ago, what is the right shape for your category structure today, and what changes for your team if we adjust it?</w:t>
      </w:r>
    </w:p>
    <w:p xmlns:wp14="http://schemas.microsoft.com/office/word/2010/wordml" w14:paraId="748AC3B9" wp14:textId="77777777">
      <w:pPr>
        <w:spacing w:after="120"/>
      </w:pPr>
      <w:r w:rsidRPr="5BBAEF96" w:rsidR="5BBAEF96">
        <w:rPr>
          <w:rFonts w:ascii="Calibri" w:hAnsi="Calibri" w:eastAsia="Calibri" w:cs="Calibri"/>
          <w:color w:val="1E293B"/>
          <w:sz w:val="22"/>
          <w:szCs w:val="22"/>
          <w:lang w:val="en-US"/>
        </w:rPr>
        <w:t>Read this before our first workshop on the topic. The point is not to convince you of anything you'll see for the first time in the workshop — it is to give you the conceptual map so the workshop conversation is about your specifics, not the foundational ideas.</w:t>
      </w:r>
    </w:p>
    <w:p xmlns:wp14="http://schemas.microsoft.com/office/word/2010/wordml" w14:paraId="02EB378F" wp14:textId="77777777">
      <w:r>
        <w:br w:type="page"/>
      </w:r>
    </w:p>
    <w:p xmlns:wp14="http://schemas.microsoft.com/office/word/2010/wordml" w14:paraId="6F3D83A7" wp14:textId="77777777">
      <w:pPr>
        <w:pStyle w:val="Heading1"/>
        <w:spacing w:before="360" w:after="180"/>
      </w:pPr>
      <w:r>
        <w:rPr>
          <w:rFonts w:ascii="Calibri" w:hAnsi="Calibri" w:eastAsia="Calibri" w:cs="Calibri"/>
          <w:b/>
          <w:bCs/>
          <w:color w:val="0B1F3A"/>
          <w:sz w:val="32"/>
          <w:szCs w:val="32"/>
        </w:rPr>
        <w:t xml:space="preserve">1.  Why Your Category Structure Got Large</w:t>
      </w:r>
    </w:p>
    <w:p xmlns:wp14="http://schemas.microsoft.com/office/word/2010/wordml" w14:paraId="41CDAAAF" wp14:textId="77777777">
      <w:pPr>
        <w:spacing w:after="120"/>
      </w:pPr>
      <w:r w:rsidRPr="5BBAEF96" w:rsidR="5BBAEF96">
        <w:rPr>
          <w:rFonts w:ascii="Calibri" w:hAnsi="Calibri" w:eastAsia="Calibri" w:cs="Calibri"/>
          <w:color w:val="1E293B"/>
          <w:sz w:val="22"/>
          <w:szCs w:val="22"/>
          <w:lang w:val="en-US"/>
        </w:rPr>
        <w:t>Most ServiceNow customers we work with have between 200 and 1,500 unique category-subcategory combinations in their existing instance. That's not unusual. It's the predictable outcome of building an operational model on top of legacy ITSM tools — HP Service Manager, BMC Remedy, early-customized ServiceNow — that didn't have working solutions for two specific problems: identifying what a ticket is about, and routing it to the right team.</w:t>
      </w:r>
    </w:p>
    <w:p xmlns:wp14="http://schemas.microsoft.com/office/word/2010/wordml" w14:paraId="6BB1A292" wp14:textId="77777777">
      <w:pPr>
        <w:spacing w:after="120"/>
      </w:pPr>
      <w:r w:rsidRPr="5BBAEF96" w:rsidR="5BBAEF96">
        <w:rPr>
          <w:rFonts w:ascii="Calibri" w:hAnsi="Calibri" w:eastAsia="Calibri" w:cs="Calibri"/>
          <w:color w:val="1E293B"/>
          <w:sz w:val="22"/>
          <w:szCs w:val="22"/>
          <w:lang w:val="en-US"/>
        </w:rPr>
        <w:t>In a tool without a working CMDB and without a relational service model, the category dropdown becomes the only practical place to encode "what is this ticket about." And because routing also depends on knowing what the ticket is about, the category dropdown also becomes the routing key. So the category structure ends up doing three jobs at once:</w:t>
      </w:r>
    </w:p>
    <w:p xmlns:wp14="http://schemas.microsoft.com/office/word/2010/wordml" w14:paraId="1E034166" wp14:textId="77777777">
      <w:pPr>
        <w:pStyle w:val="ListParagraph"/>
        <w:numPr>
          <w:ilvl w:val="0"/>
          <w:numId w:val="2"/>
        </w:numPr>
        <w:spacing w:after="60"/>
        <w:rPr/>
      </w:pPr>
      <w:r w:rsidRPr="5BBAEF96" w:rsidR="5BBAEF96">
        <w:rPr>
          <w:rFonts w:ascii="Calibri" w:hAnsi="Calibri" w:eastAsia="Calibri" w:cs="Calibri"/>
          <w:b w:val="1"/>
          <w:bCs w:val="1"/>
          <w:color w:val="1E293B"/>
          <w:sz w:val="22"/>
          <w:szCs w:val="22"/>
          <w:lang w:val="en-US"/>
        </w:rPr>
        <w:t xml:space="preserve">Categorization. </w:t>
      </w:r>
      <w:r w:rsidRPr="5BBAEF96" w:rsidR="5BBAEF96">
        <w:rPr>
          <w:rFonts w:ascii="Calibri" w:hAnsi="Calibri" w:eastAsia="Calibri" w:cs="Calibri"/>
          <w:color w:val="1E293B"/>
          <w:sz w:val="22"/>
          <w:szCs w:val="22"/>
          <w:lang w:val="en-US"/>
        </w:rPr>
        <w:t>What kind of issue is this? (Hardware, Software, Network.) This is the legitimate use of the field.</w:t>
      </w:r>
    </w:p>
    <w:p xmlns:wp14="http://schemas.microsoft.com/office/word/2010/wordml" w14:paraId="620F4241" wp14:textId="77777777">
      <w:pPr>
        <w:pStyle w:val="ListParagraph"/>
        <w:numPr>
          <w:ilvl w:val="0"/>
          <w:numId w:val="2"/>
        </w:numPr>
        <w:spacing w:after="60"/>
        <w:rPr/>
      </w:pPr>
      <w:r w:rsidRPr="5BBAEF96" w:rsidR="5BBAEF96">
        <w:rPr>
          <w:rFonts w:ascii="Calibri" w:hAnsi="Calibri" w:eastAsia="Calibri" w:cs="Calibri"/>
          <w:b w:val="1"/>
          <w:bCs w:val="1"/>
          <w:color w:val="1E293B"/>
          <w:sz w:val="22"/>
          <w:szCs w:val="22"/>
          <w:lang w:val="en-US"/>
        </w:rPr>
        <w:t xml:space="preserve">Identification. </w:t>
      </w:r>
      <w:r w:rsidRPr="5BBAEF96" w:rsidR="5BBAEF96">
        <w:rPr>
          <w:rFonts w:ascii="Calibri" w:hAnsi="Calibri" w:eastAsia="Calibri" w:cs="Calibri"/>
          <w:color w:val="1E293B"/>
          <w:sz w:val="22"/>
          <w:szCs w:val="22"/>
          <w:lang w:val="en-US"/>
        </w:rPr>
        <w:t>Which application, system, or service is involved? (Outlook, Salesforce, the VPN.) Without a CMDB, this had to live in the dropdown.</w:t>
      </w:r>
    </w:p>
    <w:p xmlns:wp14="http://schemas.microsoft.com/office/word/2010/wordml" w14:paraId="083420DE" wp14:textId="77777777">
      <w:pPr>
        <w:pStyle w:val="ListParagraph"/>
        <w:numPr>
          <w:ilvl w:val="0"/>
          <w:numId w:val="2"/>
        </w:numPr>
        <w:spacing w:after="60"/>
      </w:pPr>
      <w:r>
        <w:rPr>
          <w:rFonts w:ascii="Calibri" w:hAnsi="Calibri" w:eastAsia="Calibri" w:cs="Calibri"/>
          <w:b/>
          <w:bCs/>
          <w:color w:val="1E293B"/>
          <w:sz w:val="22"/>
          <w:szCs w:val="22"/>
        </w:rPr>
        <w:t xml:space="preserve">Routing. </w:t>
      </w:r>
      <w:r>
        <w:rPr>
          <w:rFonts w:ascii="Calibri" w:hAnsi="Calibri" w:eastAsia="Calibri" w:cs="Calibri"/>
          <w:color w:val="1E293B"/>
          <w:sz w:val="22"/>
          <w:szCs w:val="22"/>
        </w:rPr>
        <w:t xml:space="preserve">Which team handles this? (Email Operations, CRM Team, Network Operations.) Without a service model, the dropdown became the routing key.</w:t>
      </w:r>
    </w:p>
    <w:p xmlns:wp14="http://schemas.microsoft.com/office/word/2010/wordml" w14:paraId="479A7602" wp14:textId="77777777">
      <w:pPr>
        <w:spacing w:after="120"/>
      </w:pPr>
      <w:r w:rsidRPr="5BBAEF96" w:rsidR="5BBAEF96">
        <w:rPr>
          <w:rFonts w:ascii="Calibri" w:hAnsi="Calibri" w:eastAsia="Calibri" w:cs="Calibri"/>
          <w:color w:val="1E293B"/>
          <w:sz w:val="22"/>
          <w:szCs w:val="22"/>
          <w:lang w:val="en-US"/>
        </w:rPr>
        <w:t>Three jobs, one place. That's why the structure grew the way it did. Each new application required a new leaf in the tree. Each new team needed a corresponding category to route to. Each new edge case got its own subcategory. The accumulation wasn't carelessness — it was the only way to keep the operation running with the tools available.</w:t>
      </w:r>
    </w:p>
    <w:p xmlns:wp14="http://schemas.microsoft.com/office/word/2010/wordml" w14:paraId="6A05A809" wp14:textId="77777777">
      <w:r>
        <w:br w:type="page"/>
      </w:r>
    </w:p>
    <w:p xmlns:wp14="http://schemas.microsoft.com/office/word/2010/wordml" w14:paraId="365217A0" wp14:textId="77777777">
      <w:pPr>
        <w:pStyle w:val="Heading1"/>
        <w:spacing w:before="360" w:after="180"/>
      </w:pPr>
      <w:r>
        <w:rPr>
          <w:rFonts w:ascii="Calibri" w:hAnsi="Calibri" w:eastAsia="Calibri" w:cs="Calibri"/>
          <w:b/>
          <w:bCs/>
          <w:color w:val="0B1F3A"/>
          <w:sz w:val="32"/>
          <w:szCs w:val="32"/>
        </w:rPr>
        <w:t xml:space="preserve">2.  What Changed in ServiceNow</w:t>
      </w:r>
    </w:p>
    <w:p xmlns:wp14="http://schemas.microsoft.com/office/word/2010/wordml" w14:paraId="60170ABB" wp14:textId="77777777">
      <w:pPr>
        <w:spacing w:after="120"/>
      </w:pPr>
      <w:r>
        <w:rPr>
          <w:rFonts w:ascii="Calibri" w:hAnsi="Calibri" w:eastAsia="Calibri" w:cs="Calibri"/>
          <w:color w:val="1E293B"/>
          <w:sz w:val="22"/>
          <w:szCs w:val="22"/>
        </w:rPr>
        <w:t xml:space="preserve">The tools available are different now. Three changes in ServiceNow's platform over the past several years collectively make the legacy approach unnecessary — and, in fact, increasingly limiting.</w:t>
      </w:r>
    </w:p>
    <w:p xmlns:wp14="http://schemas.microsoft.com/office/word/2010/wordml" w14:paraId="78704F26" wp14:textId="77777777">
      <w:pPr>
        <w:pStyle w:val="Heading2"/>
        <w:spacing w:before="240" w:after="120"/>
      </w:pPr>
      <w:r w:rsidRPr="5BBAEF96" w:rsidR="5BBAEF96">
        <w:rPr>
          <w:rFonts w:ascii="Calibri" w:hAnsi="Calibri" w:eastAsia="Calibri" w:cs="Calibri"/>
          <w:b w:val="1"/>
          <w:bCs w:val="1"/>
          <w:color w:val="0B1F3A"/>
          <w:sz w:val="26"/>
          <w:szCs w:val="26"/>
          <w:lang w:val="en-US"/>
        </w:rPr>
        <w:t>2.1  CSDM and the relational service model</w:t>
      </w:r>
    </w:p>
    <w:p xmlns:wp14="http://schemas.microsoft.com/office/word/2010/wordml" w14:paraId="578D5481" wp14:textId="77777777">
      <w:pPr>
        <w:spacing w:after="120"/>
      </w:pPr>
      <w:r w:rsidRPr="5BBAEF96" w:rsidR="5BBAEF96">
        <w:rPr>
          <w:rFonts w:ascii="Calibri" w:hAnsi="Calibri" w:eastAsia="Calibri" w:cs="Calibri"/>
          <w:color w:val="1E293B"/>
          <w:sz w:val="22"/>
          <w:szCs w:val="22"/>
          <w:lang w:val="en-US"/>
        </w:rPr>
        <w:t>ServiceNow's Common Service Data Model (CSDM) provides what your category structure was approximating: a relational map of Business Services, Technical Services, Application Services, and the configuration items (CIs) that make them up. When a ticket has a CI on it — say, the Exchange Online tenant — the platform already knows the Application Service it belongs to (Microsoft 365), the Technical Service that supports it (Email), and the Business Service that consumes it (Communications). It also knows the assignment group that owns the service. Routing follows the CI's relationships, not a category leaf.</w:t>
      </w:r>
    </w:p>
    <w:p xmlns:wp14="http://schemas.microsoft.com/office/word/2010/wordml" w14:paraId="54AB14CD" wp14:textId="77777777">
      <w:pPr>
        <w:pStyle w:val="Heading2"/>
        <w:spacing w:before="240" w:after="120"/>
      </w:pPr>
      <w:r w:rsidRPr="5BBAEF96" w:rsidR="5BBAEF96">
        <w:rPr>
          <w:rFonts w:ascii="Calibri" w:hAnsi="Calibri" w:eastAsia="Calibri" w:cs="Calibri"/>
          <w:b w:val="1"/>
          <w:bCs w:val="1"/>
          <w:color w:val="0B1F3A"/>
          <w:sz w:val="26"/>
          <w:szCs w:val="26"/>
          <w:lang w:val="en-US"/>
        </w:rPr>
        <w:t>2.2  Out-of-the-box AI capabilities</w:t>
      </w:r>
    </w:p>
    <w:p xmlns:wp14="http://schemas.microsoft.com/office/word/2010/wordml" w14:paraId="53EC9B55" wp14:textId="77777777">
      <w:pPr>
        <w:spacing w:after="120"/>
      </w:pPr>
      <w:r w:rsidRPr="5BBAEF96" w:rsidR="5BBAEF96">
        <w:rPr>
          <w:rFonts w:ascii="Calibri" w:hAnsi="Calibri" w:eastAsia="Calibri" w:cs="Calibri"/>
          <w:color w:val="1E293B"/>
          <w:sz w:val="22"/>
          <w:szCs w:val="22"/>
          <w:lang w:val="en-US"/>
        </w:rPr>
        <w:t>ServiceNow's AI features — Predictive Intelligence, Now Assist, AI Search, Virtual Agent — do work that the category structure used to do, and do it better. Predictive Intelligence learns from historical patterns and suggests categorization on new tickets. AI Search finds knowledge by content, not category leaf. Virtual Agent serves answers based on the question asked, not the dropdown picked. These capabilities depend on something the legacy structure made hard: a stable, manageable taxonomy that doesn't drift every quarter.</w:t>
      </w:r>
    </w:p>
    <w:p xmlns:wp14="http://schemas.microsoft.com/office/word/2010/wordml" w14:paraId="6B755503" wp14:textId="77777777">
      <w:pPr>
        <w:pStyle w:val="Heading2"/>
        <w:spacing w:before="240" w:after="120"/>
      </w:pPr>
      <w:r w:rsidRPr="5BBAEF96" w:rsidR="5BBAEF96">
        <w:rPr>
          <w:rFonts w:ascii="Calibri" w:hAnsi="Calibri" w:eastAsia="Calibri" w:cs="Calibri"/>
          <w:b w:val="1"/>
          <w:bCs w:val="1"/>
          <w:color w:val="0B1F3A"/>
          <w:sz w:val="26"/>
          <w:szCs w:val="26"/>
          <w:lang w:val="en-US"/>
        </w:rPr>
        <w:t>2.3  The reporting model</w:t>
      </w:r>
    </w:p>
    <w:p xmlns:wp14="http://schemas.microsoft.com/office/word/2010/wordml" w14:paraId="0BA5FC1A" wp14:textId="77777777">
      <w:pPr>
        <w:spacing w:after="120"/>
      </w:pPr>
      <w:r w:rsidRPr="5BBAEF96" w:rsidR="5BBAEF96">
        <w:rPr>
          <w:rFonts w:ascii="Calibri" w:hAnsi="Calibri" w:eastAsia="Calibri" w:cs="Calibri"/>
          <w:color w:val="1E293B"/>
          <w:sz w:val="22"/>
          <w:szCs w:val="22"/>
          <w:lang w:val="en-US"/>
        </w:rPr>
        <w:t>Performance Analytics and OOTB reporting expect a stable categorization. Trend analysis is more reliable when the same ticket type is categorized the same way across years. A category structure that grows by 20+ leaves per quarter — not unusual in legacy environments — produces year-over-year trend data that's interesting to look at but hard to act on. A smaller, stable structure produces less data points but more usable signal.</w:t>
      </w:r>
    </w:p>
    <w:p xmlns:wp14="http://schemas.microsoft.com/office/word/2010/wordml" w14:paraId="5D416C32" wp14:textId="77777777">
      <w:pPr>
        <w:spacing w:after="120"/>
      </w:pPr>
      <w:r w:rsidRPr="5BBAEF96" w:rsidR="5BBAEF96">
        <w:rPr>
          <w:rFonts w:ascii="Calibri" w:hAnsi="Calibri" w:eastAsia="Calibri" w:cs="Calibri"/>
          <w:color w:val="1E293B"/>
          <w:sz w:val="22"/>
          <w:szCs w:val="22"/>
          <w:lang w:val="en-US"/>
        </w:rPr>
        <w:t>None of these changes invalidate what you built. They change what's possible now that wasn't possible before. The dropdown isn't load-bearing anymore — and not being load-bearing means it can shrink to its proper job and stop being maintenance overhead.</w:t>
      </w:r>
    </w:p>
    <w:p xmlns:wp14="http://schemas.microsoft.com/office/word/2010/wordml" w14:paraId="5A39BBE3" wp14:textId="77777777">
      <w:r>
        <w:br w:type="page"/>
      </w:r>
    </w:p>
    <w:p xmlns:wp14="http://schemas.microsoft.com/office/word/2010/wordml" w14:paraId="12EA32BB" wp14:textId="77777777">
      <w:pPr>
        <w:pStyle w:val="Heading1"/>
        <w:spacing w:before="360" w:after="180"/>
      </w:pPr>
      <w:r>
        <w:rPr>
          <w:rFonts w:ascii="Calibri" w:hAnsi="Calibri" w:eastAsia="Calibri" w:cs="Calibri"/>
          <w:b/>
          <w:bCs/>
          <w:color w:val="0B1F3A"/>
          <w:sz w:val="32"/>
          <w:szCs w:val="32"/>
        </w:rPr>
        <w:t xml:space="preserve">3.  The New Architecture, in Plain Language</w:t>
      </w:r>
    </w:p>
    <w:p xmlns:wp14="http://schemas.microsoft.com/office/word/2010/wordml" w14:paraId="1E695875" wp14:textId="77777777">
      <w:pPr>
        <w:spacing w:after="120"/>
      </w:pPr>
      <w:r w:rsidRPr="5BBAEF96" w:rsidR="5BBAEF96">
        <w:rPr>
          <w:rFonts w:ascii="Calibri" w:hAnsi="Calibri" w:eastAsia="Calibri" w:cs="Calibri"/>
          <w:color w:val="1E293B"/>
          <w:sz w:val="22"/>
          <w:szCs w:val="22"/>
          <w:lang w:val="en-US"/>
        </w:rPr>
        <w:t>In the OOTB-first model, the three jobs the legacy dropdown was doing live in three different places — and each of them is better at its job than the dropdown was.</w:t>
      </w:r>
    </w:p>
    <w:p xmlns:wp14="http://schemas.microsoft.com/office/word/2010/wordml" w14:paraId="6A9BD5EB" wp14:textId="77777777">
      <w:pPr>
        <w:pStyle w:val="Heading2"/>
        <w:spacing w:before="240" w:after="120"/>
      </w:pPr>
      <w:r w:rsidRPr="5BBAEF96" w:rsidR="5BBAEF96">
        <w:rPr>
          <w:rFonts w:ascii="Calibri" w:hAnsi="Calibri" w:eastAsia="Calibri" w:cs="Calibri"/>
          <w:b w:val="1"/>
          <w:bCs w:val="1"/>
          <w:color w:val="0B1F3A"/>
          <w:sz w:val="26"/>
          <w:szCs w:val="26"/>
          <w:lang w:val="en-US"/>
        </w:rPr>
        <w:t>3.1  Categorization, in its proper role</w:t>
      </w:r>
    </w:p>
    <w:p xmlns:wp14="http://schemas.microsoft.com/office/word/2010/wordml" w14:paraId="7FAB472A" wp14:textId="77777777">
      <w:pPr>
        <w:spacing w:after="120"/>
      </w:pPr>
      <w:r w:rsidRPr="5BBAEF96" w:rsidR="5BBAEF96">
        <w:rPr>
          <w:rFonts w:ascii="Calibri" w:hAnsi="Calibri" w:eastAsia="Calibri" w:cs="Calibri"/>
          <w:color w:val="1E293B"/>
          <w:sz w:val="22"/>
          <w:szCs w:val="22"/>
          <w:lang w:val="en-US"/>
        </w:rPr>
        <w:t>Category and subcategory return to being just that: what kind of issue is this? Five to seven top-level categories (Hardware, Software, Network, Account/Access, How-Do-I, Other) with four to eight subcategories each. About 30–40 leaves total. Used for trending, AI training, and quick triage hints — not for routing or identifying applications.</w:t>
      </w:r>
    </w:p>
    <w:p xmlns:wp14="http://schemas.microsoft.com/office/word/2010/wordml" w14:paraId="09488280" wp14:textId="77777777">
      <w:pPr>
        <w:pStyle w:val="Heading2"/>
        <w:spacing w:before="240" w:after="120"/>
      </w:pPr>
      <w:r w:rsidRPr="5BBAEF96" w:rsidR="5BBAEF96">
        <w:rPr>
          <w:rFonts w:ascii="Calibri" w:hAnsi="Calibri" w:eastAsia="Calibri" w:cs="Calibri"/>
          <w:b w:val="1"/>
          <w:bCs w:val="1"/>
          <w:color w:val="0B1F3A"/>
          <w:sz w:val="26"/>
          <w:szCs w:val="26"/>
          <w:lang w:val="en-US"/>
        </w:rPr>
        <w:t>3.2  Identification, in the CMDB</w:t>
      </w:r>
    </w:p>
    <w:p xmlns:wp14="http://schemas.microsoft.com/office/word/2010/wordml" w14:paraId="7187000B" wp14:textId="77777777">
      <w:pPr>
        <w:spacing w:after="120"/>
      </w:pPr>
      <w:r w:rsidRPr="5BBAEF96" w:rsidR="5BBAEF96">
        <w:rPr>
          <w:rFonts w:ascii="Calibri" w:hAnsi="Calibri" w:eastAsia="Calibri" w:cs="Calibri"/>
          <w:color w:val="1E293B"/>
          <w:sz w:val="22"/>
          <w:szCs w:val="22"/>
          <w:lang w:val="en-US"/>
        </w:rPr>
        <w:t>"Which application is involved?" answered by the CI on the ticket. The CMDB holds the relational service model: this application supports this technical service supports this business service. When a user reports an Outlook crash, the CI says it's Outlook; the CMDB connects Outlook to the Email service to the Communications business service. That's far more durable and useful than encoding "Outlook" as a dropdown leaf.</w:t>
      </w:r>
    </w:p>
    <w:p xmlns:wp14="http://schemas.microsoft.com/office/word/2010/wordml" w14:paraId="7B189A82" wp14:textId="77777777">
      <w:pPr>
        <w:pStyle w:val="Heading2"/>
        <w:spacing w:before="240" w:after="120"/>
      </w:pPr>
      <w:r w:rsidRPr="5BBAEF96" w:rsidR="5BBAEF96">
        <w:rPr>
          <w:rFonts w:ascii="Calibri" w:hAnsi="Calibri" w:eastAsia="Calibri" w:cs="Calibri"/>
          <w:b w:val="1"/>
          <w:bCs w:val="1"/>
          <w:color w:val="0B1F3A"/>
          <w:sz w:val="26"/>
          <w:szCs w:val="26"/>
          <w:lang w:val="en-US"/>
        </w:rPr>
        <w:t>3.3  Routing, via assignment rules and CI relationships</w:t>
      </w:r>
    </w:p>
    <w:p xmlns:wp14="http://schemas.microsoft.com/office/word/2010/wordml" w14:paraId="1BBADC6B" wp14:textId="77777777">
      <w:pPr>
        <w:spacing w:after="120"/>
      </w:pPr>
      <w:r w:rsidRPr="5BBAEF96" w:rsidR="5BBAEF96">
        <w:rPr>
          <w:rFonts w:ascii="Calibri" w:hAnsi="Calibri" w:eastAsia="Calibri" w:cs="Calibri"/>
          <w:color w:val="1E293B"/>
          <w:sz w:val="22"/>
          <w:szCs w:val="22"/>
          <w:lang w:val="en-US"/>
        </w:rPr>
        <w:t>"Which team gets this?" answered by the assignment group bound to the CI's service. When a new application gets added to your environment, you add it as a CI with its service relationships, and routing automatically follows. You don't add a new dropdown leaf and a new assignment rule and a new approval path. The CMDB carries the model; the routing follows.</w:t>
      </w:r>
    </w:p>
    <w:p xmlns:wp14="http://schemas.microsoft.com/office/word/2010/wordml" w14:paraId="40787CE4" wp14:textId="77777777">
      <w:pPr>
        <w:pStyle w:val="Heading2"/>
        <w:spacing w:before="240" w:after="120"/>
      </w:pPr>
      <w:r w:rsidRPr="5BBAEF96" w:rsidR="5BBAEF96">
        <w:rPr>
          <w:rFonts w:ascii="Calibri" w:hAnsi="Calibri" w:eastAsia="Calibri" w:cs="Calibri"/>
          <w:b w:val="1"/>
          <w:bCs w:val="1"/>
          <w:color w:val="0B1F3A"/>
          <w:sz w:val="26"/>
          <w:szCs w:val="26"/>
          <w:lang w:val="en-US"/>
        </w:rPr>
        <w:t>3.4  Three places, three jobs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160"/>
        <w:gridCol w:w="3600"/>
        <w:gridCol w:w="3600"/>
      </w:tblGrid>
      <w:tr xmlns:wp14="http://schemas.microsoft.com/office/word/2010/wordml" w:rsidTr="5BBAEF96" w14:paraId="67C71568" wp14:textId="77777777">
        <w:trPr>
          <w:tblHeader/>
        </w:trPr>
        <w:tc>
          <w:tcPr>
            <w:tcBorders>
              <w:top w:val="single" w:color="E2E8F0" w:sz="4"/>
              <w:left w:val="single" w:color="E2E8F0" w:sz="4"/>
              <w:bottom w:val="single" w:color="E2E8F0" w:sz="4"/>
              <w:right w:val="single" w:color="E2E8F0" w:sz="4"/>
            </w:tcBorders>
            <w:shd w:val="clear" w:color="auto" w:fill="0B1F3A"/>
            <w:tcMar>
              <w:top w:w="120" w:type="dxa"/>
              <w:left w:w="160" w:type="dxa"/>
              <w:bottom w:w="120" w:type="dxa"/>
              <w:right w:w="160" w:type="dxa"/>
            </w:tcMar>
          </w:tcPr>
          <w:p w14:paraId="66D4B0BC" wp14:textId="77777777">
            <w:r>
              <w:rPr>
                <w:rFonts w:ascii="Calibri" w:hAnsi="Calibri" w:eastAsia="Calibri" w:cs="Calibri"/>
                <w:b/>
                <w:bCs/>
                <w:color w:val="FFFFFF"/>
                <w:sz w:val="22"/>
                <w:szCs w:val="22"/>
              </w:rPr>
              <w:t xml:space="preserve">Job</w:t>
            </w:r>
          </w:p>
        </w:tc>
        <w:tc>
          <w:tcPr>
            <w:tcBorders>
              <w:top w:val="single" w:color="E2E8F0" w:sz="4"/>
              <w:left w:val="single" w:color="E2E8F0" w:sz="4"/>
              <w:bottom w:val="single" w:color="E2E8F0" w:sz="4"/>
              <w:right w:val="single" w:color="E2E8F0" w:sz="4"/>
            </w:tcBorders>
            <w:shd w:val="clear" w:color="auto" w:fill="0B1F3A"/>
            <w:tcMar>
              <w:top w:w="120" w:type="dxa"/>
              <w:left w:w="160" w:type="dxa"/>
              <w:bottom w:w="120" w:type="dxa"/>
              <w:right w:w="160" w:type="dxa"/>
            </w:tcMar>
          </w:tcPr>
          <w:p w14:paraId="33470E3C" wp14:textId="77777777">
            <w:r>
              <w:rPr>
                <w:rFonts w:ascii="Calibri" w:hAnsi="Calibri" w:eastAsia="Calibri" w:cs="Calibri"/>
                <w:b/>
                <w:bCs/>
                <w:color w:val="FFFFFF"/>
                <w:sz w:val="22"/>
                <w:szCs w:val="22"/>
              </w:rPr>
              <w:t xml:space="preserve">Where It Lives</w:t>
            </w:r>
          </w:p>
        </w:tc>
        <w:tc>
          <w:tcPr>
            <w:tcBorders>
              <w:top w:val="single" w:color="E2E8F0" w:sz="4"/>
              <w:left w:val="single" w:color="E2E8F0" w:sz="4"/>
              <w:bottom w:val="single" w:color="E2E8F0" w:sz="4"/>
              <w:right w:val="single" w:color="E2E8F0" w:sz="4"/>
            </w:tcBorders>
            <w:shd w:val="clear" w:color="auto" w:fill="0B1F3A"/>
            <w:tcMar>
              <w:top w:w="120" w:type="dxa"/>
              <w:left w:w="160" w:type="dxa"/>
              <w:bottom w:w="120" w:type="dxa"/>
              <w:right w:w="160" w:type="dxa"/>
            </w:tcMar>
          </w:tcPr>
          <w:p w14:paraId="360AC8C4" wp14:textId="77777777">
            <w:r w:rsidRPr="5BBAEF96" w:rsidR="5BBAEF96">
              <w:rPr>
                <w:rFonts w:ascii="Calibri" w:hAnsi="Calibri" w:eastAsia="Calibri" w:cs="Calibri"/>
                <w:b w:val="1"/>
                <w:bCs w:val="1"/>
                <w:color w:val="FFFFFF"/>
                <w:sz w:val="22"/>
                <w:szCs w:val="22"/>
                <w:lang w:val="en-US"/>
              </w:rPr>
              <w:t>What It's For</w:t>
            </w:r>
          </w:p>
        </w:tc>
      </w:tr>
      <w:tr xmlns:wp14="http://schemas.microsoft.com/office/word/2010/wordml" w:rsidTr="5BBAEF96" w14:paraId="3B22FD39" wp14:textId="77777777">
        <w:tc>
          <w:tcPr>
            <w:tcBorders>
              <w:top w:val="single" w:color="E2E8F0" w:sz="4"/>
              <w:left w:val="single" w:color="E2E8F0" w:sz="4"/>
              <w:bottom w:val="single" w:color="E2E8F0" w:sz="4"/>
              <w:right w:val="single" w:color="E2E8F0" w:sz="4"/>
            </w:tcBorders>
            <w:shd w:val="clear" w:color="auto" w:fill="F8FAFC"/>
            <w:tcMar>
              <w:top w:w="100" w:type="dxa"/>
              <w:left w:w="160" w:type="dxa"/>
              <w:bottom w:w="100" w:type="dxa"/>
              <w:right w:w="160" w:type="dxa"/>
            </w:tcMar>
          </w:tcPr>
          <w:p w14:paraId="7FF04864" wp14:textId="77777777">
            <w:r>
              <w:rPr>
                <w:rFonts w:ascii="Calibri" w:hAnsi="Calibri" w:eastAsia="Calibri" w:cs="Calibri"/>
                <w:b w:val="false"/>
                <w:bCs w:val="false"/>
                <w:color w:val="1E293B"/>
                <w:sz w:val="20"/>
                <w:szCs w:val="20"/>
              </w:rPr>
              <w:t xml:space="preserve">Categorization</w:t>
            </w:r>
          </w:p>
        </w:tc>
        <w:tc>
          <w:tcPr>
            <w:tcBorders>
              <w:top w:val="single" w:color="E2E8F0" w:sz="4"/>
              <w:left w:val="single" w:color="E2E8F0" w:sz="4"/>
              <w:bottom w:val="single" w:color="E2E8F0" w:sz="4"/>
              <w:right w:val="single" w:color="E2E8F0" w:sz="4"/>
            </w:tcBorders>
            <w:shd w:val="clear" w:color="auto" w:fill="F8FAFC"/>
            <w:tcMar>
              <w:top w:w="100" w:type="dxa"/>
              <w:left w:w="160" w:type="dxa"/>
              <w:bottom w:w="100" w:type="dxa"/>
              <w:right w:w="160" w:type="dxa"/>
            </w:tcMar>
          </w:tcPr>
          <w:p w14:paraId="6006DBFB" wp14:textId="77777777">
            <w:r>
              <w:rPr>
                <w:rFonts w:ascii="Calibri" w:hAnsi="Calibri" w:eastAsia="Calibri" w:cs="Calibri"/>
                <w:b w:val="false"/>
                <w:bCs w:val="false"/>
                <w:color w:val="1E293B"/>
                <w:sz w:val="20"/>
                <w:szCs w:val="20"/>
              </w:rPr>
              <w:t xml:space="preserve">Category and subcategory fields (clean, stable, ~30–40 leaves)</w:t>
            </w:r>
          </w:p>
        </w:tc>
        <w:tc>
          <w:tcPr>
            <w:tcBorders>
              <w:top w:val="single" w:color="E2E8F0" w:sz="4"/>
              <w:left w:val="single" w:color="E2E8F0" w:sz="4"/>
              <w:bottom w:val="single" w:color="E2E8F0" w:sz="4"/>
              <w:right w:val="single" w:color="E2E8F0" w:sz="4"/>
            </w:tcBorders>
            <w:shd w:val="clear" w:color="auto" w:fill="F8FAFC"/>
            <w:tcMar>
              <w:top w:w="100" w:type="dxa"/>
              <w:left w:w="160" w:type="dxa"/>
              <w:bottom w:w="100" w:type="dxa"/>
              <w:right w:w="160" w:type="dxa"/>
            </w:tcMar>
          </w:tcPr>
          <w:p w14:paraId="24B546EE" wp14:textId="77777777">
            <w:r>
              <w:rPr>
                <w:rFonts w:ascii="Calibri" w:hAnsi="Calibri" w:eastAsia="Calibri" w:cs="Calibri"/>
                <w:b w:val="false"/>
                <w:bCs w:val="false"/>
                <w:color w:val="1E293B"/>
                <w:sz w:val="20"/>
                <w:szCs w:val="20"/>
              </w:rPr>
              <w:t xml:space="preserve">Trending, AI training, pattern detection</w:t>
            </w:r>
          </w:p>
        </w:tc>
      </w:tr>
      <w:tr xmlns:wp14="http://schemas.microsoft.com/office/word/2010/wordml" w:rsidTr="5BBAEF96" w14:paraId="149BB348" wp14:textId="77777777">
        <w:tc>
          <w:tcPr>
            <w:tcBorders>
              <w:top w:val="single" w:color="E2E8F0" w:sz="4"/>
              <w:left w:val="single" w:color="E2E8F0" w:sz="4"/>
              <w:bottom w:val="single" w:color="E2E8F0" w:sz="4"/>
              <w:right w:val="single" w:color="E2E8F0" w:sz="4"/>
            </w:tcBorders>
            <w:shd w:val="clear" w:color="auto" w:fill="FFFFFF"/>
            <w:tcMar>
              <w:top w:w="100" w:type="dxa"/>
              <w:left w:w="160" w:type="dxa"/>
              <w:bottom w:w="100" w:type="dxa"/>
              <w:right w:w="160" w:type="dxa"/>
            </w:tcMar>
          </w:tcPr>
          <w:p w14:paraId="2C6ACD02" wp14:textId="77777777">
            <w:r>
              <w:rPr>
                <w:rFonts w:ascii="Calibri" w:hAnsi="Calibri" w:eastAsia="Calibri" w:cs="Calibri"/>
                <w:b w:val="false"/>
                <w:bCs w:val="false"/>
                <w:color w:val="1E293B"/>
                <w:sz w:val="20"/>
                <w:szCs w:val="20"/>
              </w:rPr>
              <w:t xml:space="preserve">Identification</w:t>
            </w:r>
          </w:p>
        </w:tc>
        <w:tc>
          <w:tcPr>
            <w:tcBorders>
              <w:top w:val="single" w:color="E2E8F0" w:sz="4"/>
              <w:left w:val="single" w:color="E2E8F0" w:sz="4"/>
              <w:bottom w:val="single" w:color="E2E8F0" w:sz="4"/>
              <w:right w:val="single" w:color="E2E8F0" w:sz="4"/>
            </w:tcBorders>
            <w:shd w:val="clear" w:color="auto" w:fill="FFFFFF"/>
            <w:tcMar>
              <w:top w:w="100" w:type="dxa"/>
              <w:left w:w="160" w:type="dxa"/>
              <w:bottom w:w="100" w:type="dxa"/>
              <w:right w:w="160" w:type="dxa"/>
            </w:tcMar>
          </w:tcPr>
          <w:p w14:paraId="76B53904" wp14:textId="77777777">
            <w:r>
              <w:rPr>
                <w:rFonts w:ascii="Calibri" w:hAnsi="Calibri" w:eastAsia="Calibri" w:cs="Calibri"/>
                <w:b w:val="false"/>
                <w:bCs w:val="false"/>
                <w:color w:val="1E293B"/>
                <w:sz w:val="20"/>
                <w:szCs w:val="20"/>
              </w:rPr>
              <w:t xml:space="preserve">CI on the ticket (linked to CSDM service model)</w:t>
            </w:r>
          </w:p>
        </w:tc>
        <w:tc>
          <w:tcPr>
            <w:tcBorders>
              <w:top w:val="single" w:color="E2E8F0" w:sz="4"/>
              <w:left w:val="single" w:color="E2E8F0" w:sz="4"/>
              <w:bottom w:val="single" w:color="E2E8F0" w:sz="4"/>
              <w:right w:val="single" w:color="E2E8F0" w:sz="4"/>
            </w:tcBorders>
            <w:shd w:val="clear" w:color="auto" w:fill="FFFFFF"/>
            <w:tcMar>
              <w:top w:w="100" w:type="dxa"/>
              <w:left w:w="160" w:type="dxa"/>
              <w:bottom w:w="100" w:type="dxa"/>
              <w:right w:w="160" w:type="dxa"/>
            </w:tcMar>
          </w:tcPr>
          <w:p w14:paraId="5C703558" wp14:textId="77777777">
            <w:r>
              <w:rPr>
                <w:rFonts w:ascii="Calibri" w:hAnsi="Calibri" w:eastAsia="Calibri" w:cs="Calibri"/>
                <w:b w:val="false"/>
                <w:bCs w:val="false"/>
                <w:color w:val="1E293B"/>
                <w:sz w:val="20"/>
                <w:szCs w:val="20"/>
              </w:rPr>
              <w:t xml:space="preserve">What this ticket is about — service-aware</w:t>
            </w:r>
          </w:p>
        </w:tc>
      </w:tr>
      <w:tr xmlns:wp14="http://schemas.microsoft.com/office/word/2010/wordml" w:rsidTr="5BBAEF96" w14:paraId="21FE7948" wp14:textId="77777777">
        <w:tc>
          <w:tcPr>
            <w:tcBorders>
              <w:top w:val="single" w:color="E2E8F0" w:sz="4"/>
              <w:left w:val="single" w:color="E2E8F0" w:sz="4"/>
              <w:bottom w:val="single" w:color="E2E8F0" w:sz="4"/>
              <w:right w:val="single" w:color="E2E8F0" w:sz="4"/>
            </w:tcBorders>
            <w:shd w:val="clear" w:color="auto" w:fill="F8FAFC"/>
            <w:tcMar>
              <w:top w:w="100" w:type="dxa"/>
              <w:left w:w="160" w:type="dxa"/>
              <w:bottom w:w="100" w:type="dxa"/>
              <w:right w:w="160" w:type="dxa"/>
            </w:tcMar>
          </w:tcPr>
          <w:p w14:paraId="7DA8C441" wp14:textId="77777777">
            <w:r>
              <w:rPr>
                <w:rFonts w:ascii="Calibri" w:hAnsi="Calibri" w:eastAsia="Calibri" w:cs="Calibri"/>
                <w:b w:val="false"/>
                <w:bCs w:val="false"/>
                <w:color w:val="1E293B"/>
                <w:sz w:val="20"/>
                <w:szCs w:val="20"/>
              </w:rPr>
              <w:t xml:space="preserve">Routing</w:t>
            </w:r>
          </w:p>
        </w:tc>
        <w:tc>
          <w:tcPr>
            <w:tcBorders>
              <w:top w:val="single" w:color="E2E8F0" w:sz="4"/>
              <w:left w:val="single" w:color="E2E8F0" w:sz="4"/>
              <w:bottom w:val="single" w:color="E2E8F0" w:sz="4"/>
              <w:right w:val="single" w:color="E2E8F0" w:sz="4"/>
            </w:tcBorders>
            <w:shd w:val="clear" w:color="auto" w:fill="F8FAFC"/>
            <w:tcMar>
              <w:top w:w="100" w:type="dxa"/>
              <w:left w:w="160" w:type="dxa"/>
              <w:bottom w:w="100" w:type="dxa"/>
              <w:right w:w="160" w:type="dxa"/>
            </w:tcMar>
          </w:tcPr>
          <w:p w14:paraId="6D24C36A" wp14:textId="77777777">
            <w:r>
              <w:rPr>
                <w:rFonts w:ascii="Calibri" w:hAnsi="Calibri" w:eastAsia="Calibri" w:cs="Calibri"/>
                <w:b w:val="false"/>
                <w:bCs w:val="false"/>
                <w:color w:val="1E293B"/>
                <w:sz w:val="20"/>
                <w:szCs w:val="20"/>
              </w:rPr>
              <w:t xml:space="preserve">Assignment Rules referencing CI ownership</w:t>
            </w:r>
          </w:p>
        </w:tc>
        <w:tc>
          <w:tcPr>
            <w:tcBorders>
              <w:top w:val="single" w:color="E2E8F0" w:sz="4"/>
              <w:left w:val="single" w:color="E2E8F0" w:sz="4"/>
              <w:bottom w:val="single" w:color="E2E8F0" w:sz="4"/>
              <w:right w:val="single" w:color="E2E8F0" w:sz="4"/>
            </w:tcBorders>
            <w:shd w:val="clear" w:color="auto" w:fill="F8FAFC"/>
            <w:tcMar>
              <w:top w:w="100" w:type="dxa"/>
              <w:left w:w="160" w:type="dxa"/>
              <w:bottom w:w="100" w:type="dxa"/>
              <w:right w:w="160" w:type="dxa"/>
            </w:tcMar>
          </w:tcPr>
          <w:p w14:paraId="2EBBC44E" wp14:textId="77777777">
            <w:r>
              <w:rPr>
                <w:rFonts w:ascii="Calibri" w:hAnsi="Calibri" w:eastAsia="Calibri" w:cs="Calibri"/>
                <w:b w:val="false"/>
                <w:bCs w:val="false"/>
                <w:color w:val="1E293B"/>
                <w:sz w:val="20"/>
                <w:szCs w:val="20"/>
              </w:rPr>
              <w:t xml:space="preserve">Which team handles this — survives org changes</w:t>
            </w:r>
          </w:p>
        </w:tc>
      </w:tr>
    </w:tbl>
    <w:p xmlns:wp14="http://schemas.microsoft.com/office/word/2010/wordml" w14:paraId="41C8F396" wp14:textId="77777777">
      <w:r>
        <w:br w:type="page"/>
      </w:r>
    </w:p>
    <w:p xmlns:wp14="http://schemas.microsoft.com/office/word/2010/wordml" w14:paraId="662AD028" wp14:textId="77777777">
      <w:pPr>
        <w:pStyle w:val="Heading1"/>
        <w:spacing w:before="360" w:after="180"/>
      </w:pPr>
      <w:r>
        <w:rPr>
          <w:rFonts w:ascii="Calibri" w:hAnsi="Calibri" w:eastAsia="Calibri" w:cs="Calibri"/>
          <w:b/>
          <w:bCs/>
          <w:color w:val="0B1F3A"/>
          <w:sz w:val="32"/>
          <w:szCs w:val="32"/>
        </w:rPr>
        <w:t xml:space="preserve">4.  What This Means for Your Team</w:t>
      </w:r>
    </w:p>
    <w:p xmlns:wp14="http://schemas.microsoft.com/office/word/2010/wordml" w14:paraId="01DAF7CF" wp14:textId="77777777">
      <w:pPr>
        <w:spacing w:after="120"/>
      </w:pPr>
      <w:r w:rsidRPr="5BBAEF96" w:rsidR="5BBAEF96">
        <w:rPr>
          <w:rFonts w:ascii="Calibri" w:hAnsi="Calibri" w:eastAsia="Calibri" w:cs="Calibri"/>
          <w:color w:val="1E293B"/>
          <w:sz w:val="22"/>
          <w:szCs w:val="22"/>
          <w:lang w:val="en-US"/>
        </w:rPr>
        <w:t>The realignment changes daily operations in concrete ways. Most of them are improvements; the ones that aren't (transition friction, retraining) are short-term and bounded.</w:t>
      </w:r>
    </w:p>
    <w:p xmlns:wp14="http://schemas.microsoft.com/office/word/2010/wordml" w14:paraId="669C961F" wp14:textId="77777777">
      <w:pPr>
        <w:pStyle w:val="Heading2"/>
        <w:spacing w:before="240" w:after="120"/>
      </w:pPr>
      <w:r w:rsidRPr="5BBAEF96" w:rsidR="5BBAEF96">
        <w:rPr>
          <w:rFonts w:ascii="Calibri" w:hAnsi="Calibri" w:eastAsia="Calibri" w:cs="Calibri"/>
          <w:b w:val="1"/>
          <w:bCs w:val="1"/>
          <w:color w:val="0B1F3A"/>
          <w:sz w:val="26"/>
          <w:szCs w:val="26"/>
          <w:lang w:val="en-US"/>
        </w:rPr>
        <w:t>4.1  Less dropdown maintenance</w:t>
      </w:r>
    </w:p>
    <w:p xmlns:wp14="http://schemas.microsoft.com/office/word/2010/wordml" w14:paraId="7FD57DAE" wp14:textId="77777777">
      <w:pPr>
        <w:spacing w:after="120"/>
      </w:pPr>
      <w:r w:rsidRPr="5BBAEF96" w:rsidR="5BBAEF96">
        <w:rPr>
          <w:rFonts w:ascii="Calibri" w:hAnsi="Calibri" w:eastAsia="Calibri" w:cs="Calibri"/>
          <w:color w:val="1E293B"/>
          <w:sz w:val="22"/>
          <w:szCs w:val="22"/>
          <w:lang w:val="en-US"/>
        </w:rPr>
        <w:t>Today, your team — or someone on it — adds new dropdown entries every time a new application launches, a new team forms, or a new edge case appears. That maintenance work happens in the background and is rarely visible. After realignment, it largely stops. New applications get added as CIs in the CMDB; new teams get new assignment groups; the dropdown stays stable. Estimates from prior engagements: the team typically reclaims 5–15 hours per week of dropdown-management overhead.</w:t>
      </w:r>
    </w:p>
    <w:p xmlns:wp14="http://schemas.microsoft.com/office/word/2010/wordml" w14:paraId="4EE8C884" wp14:textId="77777777">
      <w:pPr>
        <w:pStyle w:val="Heading2"/>
        <w:spacing w:before="240" w:after="120"/>
      </w:pPr>
      <w:r w:rsidRPr="5BBAEF96" w:rsidR="5BBAEF96">
        <w:rPr>
          <w:rFonts w:ascii="Calibri" w:hAnsi="Calibri" w:eastAsia="Calibri" w:cs="Calibri"/>
          <w:b w:val="1"/>
          <w:bCs w:val="1"/>
          <w:color w:val="0B1F3A"/>
          <w:sz w:val="26"/>
          <w:szCs w:val="26"/>
          <w:lang w:val="en-US"/>
        </w:rPr>
        <w:t>4.2  More accurate routing</w:t>
      </w:r>
    </w:p>
    <w:p xmlns:wp14="http://schemas.microsoft.com/office/word/2010/wordml" w14:paraId="50A372A5" wp14:textId="77777777">
      <w:pPr>
        <w:spacing w:after="120"/>
      </w:pPr>
      <w:r w:rsidRPr="5BBAEF96" w:rsidR="5BBAEF96">
        <w:rPr>
          <w:rFonts w:ascii="Calibri" w:hAnsi="Calibri" w:eastAsia="Calibri" w:cs="Calibri"/>
          <w:color w:val="1E293B"/>
          <w:sz w:val="22"/>
          <w:szCs w:val="22"/>
          <w:lang w:val="en-US"/>
        </w:rPr>
        <w:t>Today, three different agents seeing the same kind of issue often pick three different categorization paths, all of which happen to route to the same team — but the path inconsistency makes reporting messy and makes Predictive Intelligence harder to train. With CI-driven routing, the CI tells you the application; the application tells you the service; the service tells you the team. Less dependent on the agent's choice; more consistent over time.</w:t>
      </w:r>
    </w:p>
    <w:p xmlns:wp14="http://schemas.microsoft.com/office/word/2010/wordml" w14:paraId="5297C490" wp14:textId="77777777">
      <w:pPr>
        <w:pStyle w:val="Heading2"/>
        <w:spacing w:before="240" w:after="120"/>
      </w:pPr>
      <w:r w:rsidRPr="5BBAEF96" w:rsidR="5BBAEF96">
        <w:rPr>
          <w:rFonts w:ascii="Calibri" w:hAnsi="Calibri" w:eastAsia="Calibri" w:cs="Calibri"/>
          <w:b w:val="1"/>
          <w:bCs w:val="1"/>
          <w:color w:val="0B1F3A"/>
          <w:sz w:val="26"/>
          <w:szCs w:val="26"/>
          <w:lang w:val="en-US"/>
        </w:rPr>
        <w:t>4.3  AI features that finally deliver</w:t>
      </w:r>
    </w:p>
    <w:p xmlns:wp14="http://schemas.microsoft.com/office/word/2010/wordml" w14:paraId="53116427" wp14:textId="77777777">
      <w:pPr>
        <w:spacing w:after="120"/>
      </w:pPr>
      <w:r w:rsidRPr="5BBAEF96" w:rsidR="5BBAEF96">
        <w:rPr>
          <w:rFonts w:ascii="Calibri" w:hAnsi="Calibri" w:eastAsia="Calibri" w:cs="Calibri"/>
          <w:color w:val="1E293B"/>
          <w:sz w:val="22"/>
          <w:szCs w:val="22"/>
          <w:lang w:val="en-US"/>
        </w:rPr>
        <w:t>Predictive Intelligence trained on a noisy, drifting category structure produces noisy predictions. Trained on a stable structure with cleaner data, it produces useful predictions — typically 75–85% category-suggestion accuracy by week one of go-live, climbing to 90%+ by month three. AI Search and Virtual Agent likewise return more relevant results when the underlying knowledge isn't fragmented across hundreds of category-tree positions. The AI capabilities you're already paying for in your ServiceNow license start delivering measurable value.</w:t>
      </w:r>
    </w:p>
    <w:p xmlns:wp14="http://schemas.microsoft.com/office/word/2010/wordml" w14:paraId="7F22AB63" wp14:textId="77777777">
      <w:pPr>
        <w:pStyle w:val="Heading2"/>
        <w:spacing w:before="240" w:after="120"/>
      </w:pPr>
      <w:r w:rsidRPr="5BBAEF96" w:rsidR="5BBAEF96">
        <w:rPr>
          <w:rFonts w:ascii="Calibri" w:hAnsi="Calibri" w:eastAsia="Calibri" w:cs="Calibri"/>
          <w:b w:val="1"/>
          <w:bCs w:val="1"/>
          <w:color w:val="0B1F3A"/>
          <w:sz w:val="26"/>
          <w:szCs w:val="26"/>
          <w:lang w:val="en-US"/>
        </w:rPr>
        <w:t>4.4  Cleaner reporting, year over year</w:t>
      </w:r>
    </w:p>
    <w:p xmlns:wp14="http://schemas.microsoft.com/office/word/2010/wordml" w14:paraId="4A34FFA7" wp14:textId="77777777">
      <w:pPr>
        <w:spacing w:after="120"/>
      </w:pPr>
      <w:r>
        <w:rPr>
          <w:rFonts w:ascii="Calibri" w:hAnsi="Calibri" w:eastAsia="Calibri" w:cs="Calibri"/>
          <w:color w:val="1E293B"/>
          <w:sz w:val="22"/>
          <w:szCs w:val="22"/>
        </w:rPr>
        <w:t xml:space="preserve">Trend reporting becomes meaningfully more reliable. Today, comparing "Software-related incidents Q3 2024 vs Q3 2025" requires reconciling category-tree drift between the two quarters. After realignment, the categories are stable, so the comparison reflects actual operational change rather than data-structure change. Performance Analytics dashboards become trustworthy enough to drive decisions.</w:t>
      </w:r>
    </w:p>
    <w:p xmlns:wp14="http://schemas.microsoft.com/office/word/2010/wordml" w14:paraId="51E39255" wp14:textId="77777777">
      <w:pPr>
        <w:pStyle w:val="Heading2"/>
        <w:spacing w:before="240" w:after="120"/>
      </w:pPr>
      <w:r w:rsidRPr="5BBAEF96" w:rsidR="5BBAEF96">
        <w:rPr>
          <w:rFonts w:ascii="Calibri" w:hAnsi="Calibri" w:eastAsia="Calibri" w:cs="Calibri"/>
          <w:b w:val="1"/>
          <w:bCs w:val="1"/>
          <w:color w:val="0B1F3A"/>
          <w:sz w:val="26"/>
          <w:szCs w:val="26"/>
          <w:lang w:val="en-US"/>
        </w:rPr>
        <w:t>4.5  Service-desk experience</w:t>
      </w:r>
    </w:p>
    <w:p xmlns:wp14="http://schemas.microsoft.com/office/word/2010/wordml" w14:paraId="0C10A428" wp14:textId="77777777">
      <w:pPr>
        <w:spacing w:after="120"/>
      </w:pPr>
      <w:r w:rsidRPr="5BBAEF96" w:rsidR="5BBAEF96">
        <w:rPr>
          <w:rFonts w:ascii="Calibri" w:hAnsi="Calibri" w:eastAsia="Calibri" w:cs="Calibri"/>
          <w:color w:val="1E293B"/>
          <w:sz w:val="22"/>
          <w:szCs w:val="22"/>
          <w:lang w:val="en-US"/>
        </w:rPr>
        <w:t>Most service desks report being more efficient after about 30 days on the new structure. There are fewer dropdown decisions per ticket, the dropdowns themselves are shorter and faster to navigate, and Predictive Intelligence does most of the categorization work — agents confirm or adjust rather than build from scratch. Average handle time typically drops 10–20% after the transition window.</w:t>
      </w:r>
    </w:p>
    <w:p xmlns:wp14="http://schemas.microsoft.com/office/word/2010/wordml" w14:paraId="72A3D3EC" wp14:textId="77777777">
      <w:r>
        <w:br w:type="page"/>
      </w:r>
    </w:p>
    <w:p xmlns:wp14="http://schemas.microsoft.com/office/word/2010/wordml" w14:paraId="3A590955" wp14:textId="77777777">
      <w:pPr>
        <w:pStyle w:val="Heading1"/>
        <w:spacing w:before="360" w:after="180"/>
      </w:pPr>
      <w:r>
        <w:rPr>
          <w:rFonts w:ascii="Calibri" w:hAnsi="Calibri" w:eastAsia="Calibri" w:cs="Calibri"/>
          <w:b/>
          <w:bCs/>
          <w:color w:val="0B1F3A"/>
          <w:sz w:val="32"/>
          <w:szCs w:val="32"/>
        </w:rPr>
        <w:t xml:space="preserve">5.  What the Transition Looks Like</w:t>
      </w:r>
    </w:p>
    <w:p xmlns:wp14="http://schemas.microsoft.com/office/word/2010/wordml" w14:paraId="12BAC7F7" wp14:textId="77777777">
      <w:pPr>
        <w:spacing w:after="120"/>
      </w:pPr>
      <w:r w:rsidRPr="5BBAEF96" w:rsidR="5BBAEF96">
        <w:rPr>
          <w:rFonts w:ascii="Calibri" w:hAnsi="Calibri" w:eastAsia="Calibri" w:cs="Calibri"/>
          <w:color w:val="1E293B"/>
          <w:sz w:val="22"/>
          <w:szCs w:val="22"/>
          <w:lang w:val="en-US"/>
        </w:rPr>
        <w:t>The realignment is not a big-bang event. It's a structured, four-workshop sequence over Sprint 1 and Sprint 2 of the engagement, followed by configuration and a coordinated cutover. Your team is in every step.</w:t>
      </w:r>
    </w:p>
    <w:p xmlns:wp14="http://schemas.microsoft.com/office/word/2010/wordml" w14:paraId="220A10E5" wp14:textId="77777777">
      <w:pPr>
        <w:pStyle w:val="Heading2"/>
        <w:spacing w:before="240" w:after="120"/>
      </w:pPr>
      <w:r w:rsidRPr="5BBAEF96" w:rsidR="5BBAEF96">
        <w:rPr>
          <w:rFonts w:ascii="Calibri" w:hAnsi="Calibri" w:eastAsia="Calibri" w:cs="Calibri"/>
          <w:b w:val="1"/>
          <w:bCs w:val="1"/>
          <w:color w:val="0B1F3A"/>
          <w:sz w:val="26"/>
          <w:szCs w:val="26"/>
          <w:lang w:val="en-US"/>
        </w:rPr>
        <w:t>5.1  The four workshops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80"/>
        <w:gridCol w:w="5400"/>
        <w:gridCol w:w="1080"/>
      </w:tblGrid>
      <w:tr xmlns:wp14="http://schemas.microsoft.com/office/word/2010/wordml" w:rsidTr="5BBAEF96" w14:paraId="69599465" wp14:textId="77777777">
        <w:trPr>
          <w:tblHeader/>
        </w:trPr>
        <w:tc>
          <w:tcPr>
            <w:tcBorders>
              <w:top w:val="single" w:color="E2E8F0" w:sz="4"/>
              <w:left w:val="single" w:color="E2E8F0" w:sz="4"/>
              <w:bottom w:val="single" w:color="E2E8F0" w:sz="4"/>
              <w:right w:val="single" w:color="E2E8F0" w:sz="4"/>
            </w:tcBorders>
            <w:shd w:val="clear" w:color="auto" w:fill="0B1F3A"/>
            <w:tcMar>
              <w:top w:w="120" w:type="dxa"/>
              <w:left w:w="160" w:type="dxa"/>
              <w:bottom w:w="120" w:type="dxa"/>
              <w:right w:w="160" w:type="dxa"/>
            </w:tcMar>
          </w:tcPr>
          <w:p w14:paraId="4461394B" wp14:textId="77777777">
            <w:r>
              <w:rPr>
                <w:rFonts w:ascii="Calibri" w:hAnsi="Calibri" w:eastAsia="Calibri" w:cs="Calibri"/>
                <w:b/>
                <w:bCs/>
                <w:color w:val="FFFFFF"/>
                <w:sz w:val="22"/>
                <w:szCs w:val="22"/>
              </w:rPr>
              <w:t xml:space="preserve">Workshop</w:t>
            </w:r>
          </w:p>
        </w:tc>
        <w:tc>
          <w:tcPr>
            <w:tcBorders>
              <w:top w:val="single" w:color="E2E8F0" w:sz="4"/>
              <w:left w:val="single" w:color="E2E8F0" w:sz="4"/>
              <w:bottom w:val="single" w:color="E2E8F0" w:sz="4"/>
              <w:right w:val="single" w:color="E2E8F0" w:sz="4"/>
            </w:tcBorders>
            <w:shd w:val="clear" w:color="auto" w:fill="0B1F3A"/>
            <w:tcMar>
              <w:top w:w="120" w:type="dxa"/>
              <w:left w:w="160" w:type="dxa"/>
              <w:bottom w:w="120" w:type="dxa"/>
              <w:right w:w="160" w:type="dxa"/>
            </w:tcMar>
          </w:tcPr>
          <w:p w14:paraId="7996A6EA" wp14:textId="77777777">
            <w:r>
              <w:rPr>
                <w:rFonts w:ascii="Calibri" w:hAnsi="Calibri" w:eastAsia="Calibri" w:cs="Calibri"/>
                <w:b/>
                <w:bCs/>
                <w:color w:val="FFFFFF"/>
                <w:sz w:val="22"/>
                <w:szCs w:val="22"/>
              </w:rPr>
              <w:t xml:space="preserve">Goal</w:t>
            </w:r>
          </w:p>
        </w:tc>
        <w:tc>
          <w:tcPr>
            <w:tcBorders>
              <w:top w:val="single" w:color="E2E8F0" w:sz="4"/>
              <w:left w:val="single" w:color="E2E8F0" w:sz="4"/>
              <w:bottom w:val="single" w:color="E2E8F0" w:sz="4"/>
              <w:right w:val="single" w:color="E2E8F0" w:sz="4"/>
            </w:tcBorders>
            <w:shd w:val="clear" w:color="auto" w:fill="0B1F3A"/>
            <w:tcMar>
              <w:top w:w="120" w:type="dxa"/>
              <w:left w:w="160" w:type="dxa"/>
              <w:bottom w:w="120" w:type="dxa"/>
              <w:right w:w="160" w:type="dxa"/>
            </w:tcMar>
          </w:tcPr>
          <w:p w14:paraId="07ED5907" wp14:textId="77777777">
            <w:r>
              <w:rPr>
                <w:rFonts w:ascii="Calibri" w:hAnsi="Calibri" w:eastAsia="Calibri" w:cs="Calibri"/>
                <w:b/>
                <w:bCs/>
                <w:color w:val="FFFFFF"/>
                <w:sz w:val="22"/>
                <w:szCs w:val="22"/>
              </w:rPr>
              <w:t xml:space="preserve">Duration</w:t>
            </w:r>
          </w:p>
        </w:tc>
      </w:tr>
      <w:tr xmlns:wp14="http://schemas.microsoft.com/office/word/2010/wordml" w:rsidTr="5BBAEF96" w14:paraId="75F02925" wp14:textId="77777777">
        <w:tc>
          <w:tcPr>
            <w:tcBorders>
              <w:top w:val="single" w:color="E2E8F0" w:sz="4"/>
              <w:left w:val="single" w:color="E2E8F0" w:sz="4"/>
              <w:bottom w:val="single" w:color="E2E8F0" w:sz="4"/>
              <w:right w:val="single" w:color="E2E8F0" w:sz="4"/>
            </w:tcBorders>
            <w:shd w:val="clear" w:color="auto" w:fill="F8FAFC"/>
            <w:tcMar>
              <w:top w:w="100" w:type="dxa"/>
              <w:left w:w="160" w:type="dxa"/>
              <w:bottom w:w="100" w:type="dxa"/>
              <w:right w:w="160" w:type="dxa"/>
            </w:tcMar>
          </w:tcPr>
          <w:p w14:paraId="7AF19E66" wp14:textId="77777777">
            <w:r w:rsidRPr="5BBAEF96" w:rsidR="5BBAEF96">
              <w:rPr>
                <w:rFonts w:ascii="Calibri" w:hAnsi="Calibri" w:eastAsia="Calibri" w:cs="Calibri"/>
                <w:b w:val="0"/>
                <w:bCs w:val="0"/>
                <w:color w:val="1E293B"/>
                <w:sz w:val="20"/>
                <w:szCs w:val="20"/>
                <w:lang w:val="en-US"/>
              </w:rPr>
              <w:t>1 — What does your category structure actually do?</w:t>
            </w:r>
          </w:p>
        </w:tc>
        <w:tc>
          <w:tcPr>
            <w:tcBorders>
              <w:top w:val="single" w:color="E2E8F0" w:sz="4"/>
              <w:left w:val="single" w:color="E2E8F0" w:sz="4"/>
              <w:bottom w:val="single" w:color="E2E8F0" w:sz="4"/>
              <w:right w:val="single" w:color="E2E8F0" w:sz="4"/>
            </w:tcBorders>
            <w:shd w:val="clear" w:color="auto" w:fill="F8FAFC"/>
            <w:tcMar>
              <w:top w:w="100" w:type="dxa"/>
              <w:left w:w="160" w:type="dxa"/>
              <w:bottom w:w="100" w:type="dxa"/>
              <w:right w:w="160" w:type="dxa"/>
            </w:tcMar>
          </w:tcPr>
          <w:p w14:paraId="5885BF48" wp14:textId="77777777">
            <w:r w:rsidRPr="5BBAEF96" w:rsidR="5BBAEF96">
              <w:rPr>
                <w:rFonts w:ascii="Calibri" w:hAnsi="Calibri" w:eastAsia="Calibri" w:cs="Calibri"/>
                <w:b w:val="0"/>
                <w:bCs w:val="0"/>
                <w:color w:val="1E293B"/>
                <w:sz w:val="20"/>
                <w:szCs w:val="20"/>
                <w:lang w:val="en-US"/>
              </w:rPr>
              <w:t>Look at your last 60–90 days of data together. Identify the routing patterns hidden in the structure. Surface the three jobs the structure has been doing.</w:t>
            </w:r>
          </w:p>
        </w:tc>
        <w:tc>
          <w:tcPr>
            <w:tcBorders>
              <w:top w:val="single" w:color="E2E8F0" w:sz="4"/>
              <w:left w:val="single" w:color="E2E8F0" w:sz="4"/>
              <w:bottom w:val="single" w:color="E2E8F0" w:sz="4"/>
              <w:right w:val="single" w:color="E2E8F0" w:sz="4"/>
            </w:tcBorders>
            <w:shd w:val="clear" w:color="auto" w:fill="F8FAFC"/>
            <w:tcMar>
              <w:top w:w="100" w:type="dxa"/>
              <w:left w:w="160" w:type="dxa"/>
              <w:bottom w:w="100" w:type="dxa"/>
              <w:right w:w="160" w:type="dxa"/>
            </w:tcMar>
          </w:tcPr>
          <w:p w14:paraId="12C89C06" wp14:textId="77777777">
            <w:r w:rsidRPr="5BBAEF96" w:rsidR="5BBAEF96">
              <w:rPr>
                <w:rFonts w:ascii="Calibri" w:hAnsi="Calibri" w:eastAsia="Calibri" w:cs="Calibri"/>
                <w:b w:val="0"/>
                <w:bCs w:val="0"/>
                <w:color w:val="1E293B"/>
                <w:sz w:val="20"/>
                <w:szCs w:val="20"/>
                <w:lang w:val="en-US"/>
              </w:rPr>
              <w:t>90 minutes</w:t>
            </w:r>
          </w:p>
        </w:tc>
      </w:tr>
      <w:tr xmlns:wp14="http://schemas.microsoft.com/office/word/2010/wordml" w:rsidTr="5BBAEF96" w14:paraId="18976491" wp14:textId="77777777">
        <w:tc>
          <w:tcPr>
            <w:tcBorders>
              <w:top w:val="single" w:color="E2E8F0" w:sz="4"/>
              <w:left w:val="single" w:color="E2E8F0" w:sz="4"/>
              <w:bottom w:val="single" w:color="E2E8F0" w:sz="4"/>
              <w:right w:val="single" w:color="E2E8F0" w:sz="4"/>
            </w:tcBorders>
            <w:shd w:val="clear" w:color="auto" w:fill="FFFFFF"/>
            <w:tcMar>
              <w:top w:w="100" w:type="dxa"/>
              <w:left w:w="160" w:type="dxa"/>
              <w:bottom w:w="100" w:type="dxa"/>
              <w:right w:w="160" w:type="dxa"/>
            </w:tcMar>
          </w:tcPr>
          <w:p w14:paraId="65209093" wp14:textId="77777777">
            <w:r w:rsidRPr="5BBAEF96" w:rsidR="5BBAEF96">
              <w:rPr>
                <w:rFonts w:ascii="Calibri" w:hAnsi="Calibri" w:eastAsia="Calibri" w:cs="Calibri"/>
                <w:b w:val="0"/>
                <w:bCs w:val="0"/>
                <w:color w:val="1E293B"/>
                <w:sz w:val="20"/>
                <w:szCs w:val="20"/>
                <w:lang w:val="en-US"/>
              </w:rPr>
              <w:t>2 — What does CSDM ask of us?</w:t>
            </w:r>
          </w:p>
        </w:tc>
        <w:tc>
          <w:tcPr>
            <w:tcBorders>
              <w:top w:val="single" w:color="E2E8F0" w:sz="4"/>
              <w:left w:val="single" w:color="E2E8F0" w:sz="4"/>
              <w:bottom w:val="single" w:color="E2E8F0" w:sz="4"/>
              <w:right w:val="single" w:color="E2E8F0" w:sz="4"/>
            </w:tcBorders>
            <w:shd w:val="clear" w:color="auto" w:fill="FFFFFF"/>
            <w:tcMar>
              <w:top w:w="100" w:type="dxa"/>
              <w:left w:w="160" w:type="dxa"/>
              <w:bottom w:w="100" w:type="dxa"/>
              <w:right w:w="160" w:type="dxa"/>
            </w:tcMar>
          </w:tcPr>
          <w:p w14:paraId="344B11C2" wp14:textId="77777777">
            <w:r w:rsidRPr="5BBAEF96" w:rsidR="5BBAEF96">
              <w:rPr>
                <w:rFonts w:ascii="Calibri" w:hAnsi="Calibri" w:eastAsia="Calibri" w:cs="Calibri"/>
                <w:b w:val="0"/>
                <w:bCs w:val="0"/>
                <w:color w:val="1E293B"/>
                <w:sz w:val="20"/>
                <w:szCs w:val="20"/>
                <w:lang w:val="en-US"/>
              </w:rPr>
              <w:t>Define Business Services, Technical Services, Application Services. Walk through what your existing service inventory actually represents.</w:t>
            </w:r>
          </w:p>
        </w:tc>
        <w:tc>
          <w:tcPr>
            <w:tcBorders>
              <w:top w:val="single" w:color="E2E8F0" w:sz="4"/>
              <w:left w:val="single" w:color="E2E8F0" w:sz="4"/>
              <w:bottom w:val="single" w:color="E2E8F0" w:sz="4"/>
              <w:right w:val="single" w:color="E2E8F0" w:sz="4"/>
            </w:tcBorders>
            <w:shd w:val="clear" w:color="auto" w:fill="FFFFFF"/>
            <w:tcMar>
              <w:top w:w="100" w:type="dxa"/>
              <w:left w:w="160" w:type="dxa"/>
              <w:bottom w:w="100" w:type="dxa"/>
              <w:right w:w="160" w:type="dxa"/>
            </w:tcMar>
          </w:tcPr>
          <w:p w14:paraId="29A82F27" wp14:textId="77777777">
            <w:r w:rsidRPr="5BBAEF96" w:rsidR="5BBAEF96">
              <w:rPr>
                <w:rFonts w:ascii="Calibri" w:hAnsi="Calibri" w:eastAsia="Calibri" w:cs="Calibri"/>
                <w:b w:val="0"/>
                <w:bCs w:val="0"/>
                <w:color w:val="1E293B"/>
                <w:sz w:val="20"/>
                <w:szCs w:val="20"/>
                <w:lang w:val="en-US"/>
              </w:rPr>
              <w:t>90 minutes</w:t>
            </w:r>
          </w:p>
        </w:tc>
      </w:tr>
      <w:tr xmlns:wp14="http://schemas.microsoft.com/office/word/2010/wordml" w:rsidTr="5BBAEF96" w14:paraId="5D7B88E8" wp14:textId="77777777">
        <w:tc>
          <w:tcPr>
            <w:tcBorders>
              <w:top w:val="single" w:color="E2E8F0" w:sz="4"/>
              <w:left w:val="single" w:color="E2E8F0" w:sz="4"/>
              <w:bottom w:val="single" w:color="E2E8F0" w:sz="4"/>
              <w:right w:val="single" w:color="E2E8F0" w:sz="4"/>
            </w:tcBorders>
            <w:shd w:val="clear" w:color="auto" w:fill="F8FAFC"/>
            <w:tcMar>
              <w:top w:w="100" w:type="dxa"/>
              <w:left w:w="160" w:type="dxa"/>
              <w:bottom w:w="100" w:type="dxa"/>
              <w:right w:w="160" w:type="dxa"/>
            </w:tcMar>
          </w:tcPr>
          <w:p w14:paraId="1F84256C" wp14:textId="77777777">
            <w:r>
              <w:rPr>
                <w:rFonts w:ascii="Calibri" w:hAnsi="Calibri" w:eastAsia="Calibri" w:cs="Calibri"/>
                <w:b w:val="false"/>
                <w:bCs w:val="false"/>
                <w:color w:val="1E293B"/>
                <w:sz w:val="20"/>
                <w:szCs w:val="20"/>
              </w:rPr>
              <w:t xml:space="preserve">3 — Designing the new categorization</w:t>
            </w:r>
          </w:p>
        </w:tc>
        <w:tc>
          <w:tcPr>
            <w:tcBorders>
              <w:top w:val="single" w:color="E2E8F0" w:sz="4"/>
              <w:left w:val="single" w:color="E2E8F0" w:sz="4"/>
              <w:bottom w:val="single" w:color="E2E8F0" w:sz="4"/>
              <w:right w:val="single" w:color="E2E8F0" w:sz="4"/>
            </w:tcBorders>
            <w:shd w:val="clear" w:color="auto" w:fill="F8FAFC"/>
            <w:tcMar>
              <w:top w:w="100" w:type="dxa"/>
              <w:left w:w="160" w:type="dxa"/>
              <w:bottom w:w="100" w:type="dxa"/>
              <w:right w:w="160" w:type="dxa"/>
            </w:tcMar>
          </w:tcPr>
          <w:p w14:paraId="4D5AB9A4" wp14:textId="77777777">
            <w:r>
              <w:rPr>
                <w:rFonts w:ascii="Calibri" w:hAnsi="Calibri" w:eastAsia="Calibri" w:cs="Calibri"/>
                <w:b w:val="false"/>
                <w:bCs w:val="false"/>
                <w:color w:val="1E293B"/>
                <w:sz w:val="20"/>
                <w:szCs w:val="20"/>
              </w:rPr>
              <w:t xml:space="preserve">Co-design the new category tree (5–7 top-level, 4–8 subcategories each). Map the top legacy entries to the new structure.</w:t>
            </w:r>
          </w:p>
        </w:tc>
        <w:tc>
          <w:tcPr>
            <w:tcBorders>
              <w:top w:val="single" w:color="E2E8F0" w:sz="4"/>
              <w:left w:val="single" w:color="E2E8F0" w:sz="4"/>
              <w:bottom w:val="single" w:color="E2E8F0" w:sz="4"/>
              <w:right w:val="single" w:color="E2E8F0" w:sz="4"/>
            </w:tcBorders>
            <w:shd w:val="clear" w:color="auto" w:fill="F8FAFC"/>
            <w:tcMar>
              <w:top w:w="100" w:type="dxa"/>
              <w:left w:w="160" w:type="dxa"/>
              <w:bottom w:w="100" w:type="dxa"/>
              <w:right w:w="160" w:type="dxa"/>
            </w:tcMar>
          </w:tcPr>
          <w:p w14:paraId="3CF00D3B" wp14:textId="77777777">
            <w:r w:rsidRPr="5BBAEF96" w:rsidR="5BBAEF96">
              <w:rPr>
                <w:rFonts w:ascii="Calibri" w:hAnsi="Calibri" w:eastAsia="Calibri" w:cs="Calibri"/>
                <w:b w:val="0"/>
                <w:bCs w:val="0"/>
                <w:color w:val="1E293B"/>
                <w:sz w:val="20"/>
                <w:szCs w:val="20"/>
                <w:lang w:val="en-US"/>
              </w:rPr>
              <w:t>120 minutes</w:t>
            </w:r>
          </w:p>
        </w:tc>
      </w:tr>
      <w:tr xmlns:wp14="http://schemas.microsoft.com/office/word/2010/wordml" w:rsidTr="5BBAEF96" w14:paraId="6FBEE623" wp14:textId="77777777">
        <w:tc>
          <w:tcPr>
            <w:tcBorders>
              <w:top w:val="single" w:color="E2E8F0" w:sz="4"/>
              <w:left w:val="single" w:color="E2E8F0" w:sz="4"/>
              <w:bottom w:val="single" w:color="E2E8F0" w:sz="4"/>
              <w:right w:val="single" w:color="E2E8F0" w:sz="4"/>
            </w:tcBorders>
            <w:shd w:val="clear" w:color="auto" w:fill="FFFFFF"/>
            <w:tcMar>
              <w:top w:w="100" w:type="dxa"/>
              <w:left w:w="160" w:type="dxa"/>
              <w:bottom w:w="100" w:type="dxa"/>
              <w:right w:w="160" w:type="dxa"/>
            </w:tcMar>
          </w:tcPr>
          <w:p w14:paraId="50F44F54" wp14:textId="77777777">
            <w:r>
              <w:rPr>
                <w:rFonts w:ascii="Calibri" w:hAnsi="Calibri" w:eastAsia="Calibri" w:cs="Calibri"/>
                <w:b w:val="false"/>
                <w:bCs w:val="false"/>
                <w:color w:val="1E293B"/>
                <w:sz w:val="20"/>
                <w:szCs w:val="20"/>
              </w:rPr>
              <w:t xml:space="preserve">4 — Honoring the years of work</w:t>
            </w:r>
          </w:p>
        </w:tc>
        <w:tc>
          <w:tcPr>
            <w:tcBorders>
              <w:top w:val="single" w:color="E2E8F0" w:sz="4"/>
              <w:left w:val="single" w:color="E2E8F0" w:sz="4"/>
              <w:bottom w:val="single" w:color="E2E8F0" w:sz="4"/>
              <w:right w:val="single" w:color="E2E8F0" w:sz="4"/>
            </w:tcBorders>
            <w:shd w:val="clear" w:color="auto" w:fill="FFFFFF"/>
            <w:tcMar>
              <w:top w:w="100" w:type="dxa"/>
              <w:left w:w="160" w:type="dxa"/>
              <w:bottom w:w="100" w:type="dxa"/>
              <w:right w:w="160" w:type="dxa"/>
            </w:tcMar>
          </w:tcPr>
          <w:p w14:paraId="220E70C4" wp14:textId="77777777">
            <w:r>
              <w:rPr>
                <w:rFonts w:ascii="Calibri" w:hAnsi="Calibri" w:eastAsia="Calibri" w:cs="Calibri"/>
                <w:b w:val="false"/>
                <w:bCs w:val="false"/>
                <w:color w:val="1E293B"/>
                <w:sz w:val="20"/>
                <w:szCs w:val="20"/>
              </w:rPr>
              <w:t xml:space="preserve">Walk through the migration plan. Show how legacy categorization data trains Predictive Intelligence. Plan the service-desk communication and training.</w:t>
            </w:r>
          </w:p>
        </w:tc>
        <w:tc>
          <w:tcPr>
            <w:tcBorders>
              <w:top w:val="single" w:color="E2E8F0" w:sz="4"/>
              <w:left w:val="single" w:color="E2E8F0" w:sz="4"/>
              <w:bottom w:val="single" w:color="E2E8F0" w:sz="4"/>
              <w:right w:val="single" w:color="E2E8F0" w:sz="4"/>
            </w:tcBorders>
            <w:shd w:val="clear" w:color="auto" w:fill="FFFFFF"/>
            <w:tcMar>
              <w:top w:w="100" w:type="dxa"/>
              <w:left w:w="160" w:type="dxa"/>
              <w:bottom w:w="100" w:type="dxa"/>
              <w:right w:w="160" w:type="dxa"/>
            </w:tcMar>
          </w:tcPr>
          <w:p w14:paraId="66BB6606" wp14:textId="77777777">
            <w:r>
              <w:rPr>
                <w:rFonts w:ascii="Calibri" w:hAnsi="Calibri" w:eastAsia="Calibri" w:cs="Calibri"/>
                <w:b w:val="false"/>
                <w:bCs w:val="false"/>
                <w:color w:val="1E293B"/>
                <w:sz w:val="20"/>
                <w:szCs w:val="20"/>
              </w:rPr>
              <w:t xml:space="preserve">60 minutes</w:t>
            </w:r>
          </w:p>
        </w:tc>
      </w:tr>
    </w:tbl>
    <w:p xmlns:wp14="http://schemas.microsoft.com/office/word/2010/wordml" w14:paraId="5E28C739" wp14:textId="77777777">
      <w:pPr>
        <w:pStyle w:val="Heading2"/>
        <w:spacing w:before="240" w:after="120"/>
      </w:pPr>
      <w:r w:rsidRPr="5BBAEF96" w:rsidR="5BBAEF96">
        <w:rPr>
          <w:rFonts w:ascii="Calibri" w:hAnsi="Calibri" w:eastAsia="Calibri" w:cs="Calibri"/>
          <w:b w:val="1"/>
          <w:bCs w:val="1"/>
          <w:color w:val="0B1F3A"/>
          <w:sz w:val="26"/>
          <w:szCs w:val="26"/>
          <w:lang w:val="en-US"/>
        </w:rPr>
        <w:t>5.2  Configuration and pilot</w:t>
      </w:r>
    </w:p>
    <w:p xmlns:wp14="http://schemas.microsoft.com/office/word/2010/wordml" w14:paraId="107D4C0E" wp14:textId="77777777">
      <w:pPr>
        <w:spacing w:after="120"/>
      </w:pPr>
      <w:r w:rsidRPr="5BBAEF96" w:rsidR="5BBAEF96">
        <w:rPr>
          <w:rFonts w:ascii="Calibri" w:hAnsi="Calibri" w:eastAsia="Calibri" w:cs="Calibri"/>
          <w:color w:val="1E293B"/>
          <w:sz w:val="22"/>
          <w:szCs w:val="22"/>
          <w:lang w:val="en-US"/>
        </w:rPr>
        <w:t>After the workshops, ECS configures the new structure in your sub-prod ServiceNow instance. You and your team validate against test scenarios. Predictive Intelligence is trained on your historical data. Service-desk training materials are prepared. Communication plans are drafted with you. None of this is invisible — every step has a Customer-side review.</w:t>
      </w:r>
    </w:p>
    <w:p xmlns:wp14="http://schemas.microsoft.com/office/word/2010/wordml" w14:paraId="6D8E13EF" wp14:textId="77777777">
      <w:pPr>
        <w:pStyle w:val="Heading2"/>
        <w:spacing w:before="240" w:after="120"/>
      </w:pPr>
      <w:r w:rsidRPr="5BBAEF96" w:rsidR="5BBAEF96">
        <w:rPr>
          <w:rFonts w:ascii="Calibri" w:hAnsi="Calibri" w:eastAsia="Calibri" w:cs="Calibri"/>
          <w:b w:val="1"/>
          <w:bCs w:val="1"/>
          <w:color w:val="0B1F3A"/>
          <w:sz w:val="26"/>
          <w:szCs w:val="26"/>
          <w:lang w:val="en-US"/>
        </w:rPr>
        <w:t>5.3  Cutover</w:t>
      </w:r>
    </w:p>
    <w:p xmlns:wp14="http://schemas.microsoft.com/office/word/2010/wordml" w14:paraId="272CCD68" wp14:textId="77777777">
      <w:pPr>
        <w:spacing w:after="120"/>
      </w:pPr>
      <w:r w:rsidRPr="5BBAEF96" w:rsidR="5BBAEF96">
        <w:rPr>
          <w:rFonts w:ascii="Calibri" w:hAnsi="Calibri" w:eastAsia="Calibri" w:cs="Calibri"/>
          <w:color w:val="1E293B"/>
          <w:sz w:val="22"/>
          <w:szCs w:val="22"/>
          <w:lang w:val="en-US"/>
        </w:rPr>
        <w:t>Cutover happens during the Phase 1 production cutover window (typically Sprint 7). Open tickets are bulk-migrated to the new structure using the mapping table you signed off on in Workshop 3. Closed tickets retain their original categorization in a preserved field for audit and historical reporting. Service desk operates on the new structure from go-live morning. Hypercare covers the first two weeks of operation.</w:t>
      </w:r>
    </w:p>
    <w:p xmlns:wp14="http://schemas.microsoft.com/office/word/2010/wordml" w14:paraId="439E49EC" wp14:textId="77777777">
      <w:pPr>
        <w:pStyle w:val="Heading2"/>
        <w:spacing w:before="240" w:after="120"/>
      </w:pPr>
      <w:r w:rsidRPr="5BBAEF96" w:rsidR="5BBAEF96">
        <w:rPr>
          <w:rFonts w:ascii="Calibri" w:hAnsi="Calibri" w:eastAsia="Calibri" w:cs="Calibri"/>
          <w:b w:val="1"/>
          <w:bCs w:val="1"/>
          <w:color w:val="0B1F3A"/>
          <w:sz w:val="26"/>
          <w:szCs w:val="26"/>
          <w:lang w:val="en-US"/>
        </w:rPr>
        <w:t>5.4  Hypercare and the first 30 days</w:t>
      </w:r>
    </w:p>
    <w:p xmlns:wp14="http://schemas.microsoft.com/office/word/2010/wordml" w14:paraId="3F2F8917" wp14:textId="77777777">
      <w:pPr>
        <w:spacing w:after="120"/>
      </w:pPr>
      <w:r w:rsidRPr="5BBAEF96" w:rsidR="5BBAEF96">
        <w:rPr>
          <w:rFonts w:ascii="Calibri" w:hAnsi="Calibri" w:eastAsia="Calibri" w:cs="Calibri"/>
          <w:color w:val="1E293B"/>
          <w:sz w:val="22"/>
          <w:szCs w:val="22"/>
          <w:lang w:val="en-US"/>
        </w:rPr>
        <w:t>Predictive Intelligence is suggesting categorizations from day one. Service-desk team has a reference card and a 30-minute training session. The Knowledge Manager and the ECS team are available for questions. By day 30, the team is operating fluently on the new structure; by month three, Predictive Intelligence accuracy reaches its steady-state level.</w:t>
      </w:r>
    </w:p>
    <w:p xmlns:wp14="http://schemas.microsoft.com/office/word/2010/wordml" w14:paraId="0D0B940D" wp14:textId="77777777">
      <w:r>
        <w:br w:type="page"/>
      </w:r>
    </w:p>
    <w:p xmlns:wp14="http://schemas.microsoft.com/office/word/2010/wordml" w14:paraId="2A6B0EDB" wp14:textId="77777777">
      <w:pPr>
        <w:pStyle w:val="Heading1"/>
        <w:spacing w:before="360" w:after="180"/>
      </w:pPr>
      <w:r>
        <w:rPr>
          <w:rFonts w:ascii="Calibri" w:hAnsi="Calibri" w:eastAsia="Calibri" w:cs="Calibri"/>
          <w:b/>
          <w:bCs/>
          <w:color w:val="0B1F3A"/>
          <w:sz w:val="32"/>
          <w:szCs w:val="32"/>
        </w:rPr>
        <w:t xml:space="preserve">6.  What You Keep, What Changes</w:t>
      </w:r>
    </w:p>
    <w:p xmlns:wp14="http://schemas.microsoft.com/office/word/2010/wordml" w14:paraId="018969F7" wp14:textId="77777777">
      <w:pPr>
        <w:spacing w:after="120"/>
      </w:pPr>
      <w:r>
        <w:rPr>
          <w:rFonts w:ascii="Calibri" w:hAnsi="Calibri" w:eastAsia="Calibri" w:cs="Calibri"/>
          <w:color w:val="1E293B"/>
          <w:sz w:val="22"/>
          <w:szCs w:val="22"/>
        </w:rPr>
        <w:t xml:space="preserve">The realignment is sometimes described — incorrectly — as discarding years of work. The reality is more nuanced and worth being explicit about.</w:t>
      </w:r>
    </w:p>
    <w:p xmlns:wp14="http://schemas.microsoft.com/office/word/2010/wordml" w14:paraId="221DE5BB" wp14:textId="77777777">
      <w:pPr>
        <w:pStyle w:val="Heading2"/>
        <w:spacing w:before="240" w:after="120"/>
      </w:pPr>
      <w:r w:rsidRPr="5BBAEF96" w:rsidR="5BBAEF96">
        <w:rPr>
          <w:rFonts w:ascii="Calibri" w:hAnsi="Calibri" w:eastAsia="Calibri" w:cs="Calibri"/>
          <w:b w:val="1"/>
          <w:bCs w:val="1"/>
          <w:color w:val="0B1F3A"/>
          <w:sz w:val="26"/>
          <w:szCs w:val="26"/>
          <w:lang w:val="en-US"/>
        </w:rPr>
        <w:t>6.1  What you keep</w:t>
      </w:r>
    </w:p>
    <w:p xmlns:wp14="http://schemas.microsoft.com/office/word/2010/wordml" w14:paraId="474B39BB" wp14:textId="77777777">
      <w:pPr>
        <w:pStyle w:val="ListParagraph"/>
        <w:numPr>
          <w:ilvl w:val="0"/>
          <w:numId w:val="2"/>
        </w:numPr>
        <w:spacing w:after="60"/>
        <w:rPr/>
      </w:pPr>
      <w:r w:rsidRPr="5BBAEF96" w:rsidR="5BBAEF96">
        <w:rPr>
          <w:rFonts w:ascii="Calibri" w:hAnsi="Calibri" w:eastAsia="Calibri" w:cs="Calibri"/>
          <w:color w:val="1E293B"/>
          <w:sz w:val="22"/>
          <w:szCs w:val="22"/>
          <w:lang w:val="en-US"/>
        </w:rPr>
        <w:t>Closed-ticket history. Every closed incident, request, and change retains its original categorization in a preserved field. Audit reporting and year-over-year comparisons work seamlessly.</w:t>
      </w:r>
    </w:p>
    <w:p xmlns:wp14="http://schemas.microsoft.com/office/word/2010/wordml" w14:paraId="7096DD12" wp14:textId="77777777">
      <w:pPr>
        <w:pStyle w:val="ListParagraph"/>
        <w:numPr>
          <w:ilvl w:val="0"/>
          <w:numId w:val="2"/>
        </w:numPr>
        <w:spacing w:after="60"/>
      </w:pPr>
      <w:r>
        <w:rPr>
          <w:rFonts w:ascii="Calibri" w:hAnsi="Calibri" w:eastAsia="Calibri" w:cs="Calibri"/>
          <w:color w:val="1E293B"/>
          <w:sz w:val="22"/>
          <w:szCs w:val="22"/>
        </w:rPr>
        <w:t xml:space="preserve">Your team's domain knowledge. The categorization decisions your team has made for years become Predictive Intelligence training data — your investment continues to deliver value through a different mechanism.</w:t>
      </w:r>
    </w:p>
    <w:p xmlns:wp14="http://schemas.microsoft.com/office/word/2010/wordml" w14:paraId="6456949A" wp14:textId="77777777">
      <w:pPr>
        <w:pStyle w:val="ListParagraph"/>
        <w:numPr>
          <w:ilvl w:val="0"/>
          <w:numId w:val="2"/>
        </w:numPr>
        <w:spacing w:after="60"/>
        <w:rPr/>
      </w:pPr>
      <w:r w:rsidRPr="5BBAEF96" w:rsidR="5BBAEF96">
        <w:rPr>
          <w:rFonts w:ascii="Calibri" w:hAnsi="Calibri" w:eastAsia="Calibri" w:cs="Calibri"/>
          <w:color w:val="1E293B"/>
          <w:sz w:val="22"/>
          <w:szCs w:val="22"/>
          <w:lang w:val="en-US"/>
        </w:rPr>
        <w:t>Your service-desk operating culture. The way your team triages, escalates, and resolves doesn't change. What changes is the dropdown they pick from, not the operational model.</w:t>
      </w:r>
    </w:p>
    <w:p xmlns:wp14="http://schemas.microsoft.com/office/word/2010/wordml" w14:paraId="5439F98B" wp14:textId="77777777">
      <w:pPr>
        <w:pStyle w:val="ListParagraph"/>
        <w:numPr>
          <w:ilvl w:val="0"/>
          <w:numId w:val="2"/>
        </w:numPr>
        <w:spacing w:after="60"/>
        <w:rPr/>
      </w:pPr>
      <w:r w:rsidRPr="5BBAEF96" w:rsidR="5BBAEF96">
        <w:rPr>
          <w:rFonts w:ascii="Calibri" w:hAnsi="Calibri" w:eastAsia="Calibri" w:cs="Calibri"/>
          <w:color w:val="1E293B"/>
          <w:sz w:val="22"/>
          <w:szCs w:val="22"/>
          <w:lang w:val="en-US"/>
        </w:rPr>
        <w:t>Reporting continuity. Existing dashboards and KPIs continue to work; we co-design the new dashboards as part of the build so leadership reporting is not interrupted.</w:t>
      </w:r>
    </w:p>
    <w:p xmlns:wp14="http://schemas.microsoft.com/office/word/2010/wordml" w14:paraId="3287CBAF" wp14:textId="77777777">
      <w:pPr>
        <w:pStyle w:val="Heading2"/>
        <w:spacing w:before="240" w:after="120"/>
      </w:pPr>
      <w:r w:rsidRPr="5BBAEF96" w:rsidR="5BBAEF96">
        <w:rPr>
          <w:rFonts w:ascii="Calibri" w:hAnsi="Calibri" w:eastAsia="Calibri" w:cs="Calibri"/>
          <w:b w:val="1"/>
          <w:bCs w:val="1"/>
          <w:color w:val="0B1F3A"/>
          <w:sz w:val="26"/>
          <w:szCs w:val="26"/>
          <w:lang w:val="en-US"/>
        </w:rPr>
        <w:t>6.2  What changes</w:t>
      </w:r>
    </w:p>
    <w:p xmlns:wp14="http://schemas.microsoft.com/office/word/2010/wordml" w14:paraId="4687B671" wp14:textId="77777777">
      <w:pPr>
        <w:pStyle w:val="ListParagraph"/>
        <w:numPr>
          <w:ilvl w:val="0"/>
          <w:numId w:val="2"/>
        </w:numPr>
        <w:spacing w:after="60"/>
      </w:pPr>
      <w:r>
        <w:rPr>
          <w:rFonts w:ascii="Calibri" w:hAnsi="Calibri" w:eastAsia="Calibri" w:cs="Calibri"/>
          <w:color w:val="1E293B"/>
          <w:sz w:val="22"/>
          <w:szCs w:val="22"/>
        </w:rPr>
        <w:t xml:space="preserve">The size and shape of the dropdown. From hundreds of leaves to thirty-some. From four-level cascades to one or two.</w:t>
      </w:r>
    </w:p>
    <w:p xmlns:wp14="http://schemas.microsoft.com/office/word/2010/wordml" w14:paraId="72DAB650" wp14:textId="77777777">
      <w:pPr>
        <w:pStyle w:val="ListParagraph"/>
        <w:numPr>
          <w:ilvl w:val="0"/>
          <w:numId w:val="2"/>
        </w:numPr>
        <w:spacing w:after="60"/>
        <w:rPr/>
      </w:pPr>
      <w:r w:rsidRPr="5BBAEF96" w:rsidR="5BBAEF96">
        <w:rPr>
          <w:rFonts w:ascii="Calibri" w:hAnsi="Calibri" w:eastAsia="Calibri" w:cs="Calibri"/>
          <w:color w:val="1E293B"/>
          <w:sz w:val="22"/>
          <w:szCs w:val="22"/>
          <w:lang w:val="en-US"/>
        </w:rPr>
        <w:t>Where routing comes from. From the dropdown leaf to the CI's service relationships.</w:t>
      </w:r>
    </w:p>
    <w:p xmlns:wp14="http://schemas.microsoft.com/office/word/2010/wordml" w14:paraId="65D91611" wp14:textId="77777777">
      <w:pPr>
        <w:pStyle w:val="ListParagraph"/>
        <w:numPr>
          <w:ilvl w:val="0"/>
          <w:numId w:val="2"/>
        </w:numPr>
        <w:spacing w:after="60"/>
      </w:pPr>
      <w:r>
        <w:rPr>
          <w:rFonts w:ascii="Calibri" w:hAnsi="Calibri" w:eastAsia="Calibri" w:cs="Calibri"/>
          <w:color w:val="1E293B"/>
          <w:sz w:val="22"/>
          <w:szCs w:val="22"/>
        </w:rPr>
        <w:t xml:space="preserve">Where applications and systems are named. From the dropdown to the CMDB.</w:t>
      </w:r>
    </w:p>
    <w:p xmlns:wp14="http://schemas.microsoft.com/office/word/2010/wordml" w14:paraId="49777711" wp14:textId="77777777">
      <w:pPr>
        <w:pStyle w:val="ListParagraph"/>
        <w:numPr>
          <w:ilvl w:val="0"/>
          <w:numId w:val="2"/>
        </w:numPr>
        <w:spacing w:after="60"/>
        <w:rPr/>
      </w:pPr>
      <w:r w:rsidRPr="5BBAEF96" w:rsidR="5BBAEF96">
        <w:rPr>
          <w:rFonts w:ascii="Calibri" w:hAnsi="Calibri" w:eastAsia="Calibri" w:cs="Calibri"/>
          <w:color w:val="1E293B"/>
          <w:sz w:val="22"/>
          <w:szCs w:val="22"/>
          <w:lang w:val="en-US"/>
        </w:rPr>
        <w:t>How AI capabilities engage. Predictive Intelligence, AI Search, and Virtual Agent become useful in ways they couldn't be on the legacy structure.</w:t>
      </w:r>
    </w:p>
    <w:p xmlns:wp14="http://schemas.microsoft.com/office/word/2010/wordml" w14:paraId="7F8187F0" wp14:textId="77777777">
      <w:pPr>
        <w:pStyle w:val="ListParagraph"/>
        <w:numPr>
          <w:ilvl w:val="0"/>
          <w:numId w:val="2"/>
        </w:numPr>
        <w:spacing w:after="60"/>
        <w:rPr/>
      </w:pPr>
      <w:r w:rsidRPr="5BBAEF96" w:rsidR="5BBAEF96">
        <w:rPr>
          <w:rFonts w:ascii="Calibri" w:hAnsi="Calibri" w:eastAsia="Calibri" w:cs="Calibri"/>
          <w:color w:val="1E293B"/>
          <w:sz w:val="22"/>
          <w:szCs w:val="22"/>
          <w:lang w:val="en-US"/>
        </w:rPr>
        <w:t>Maintenance overhead. The team that has been quietly maintaining the dropdown stops doing that work and redirects it to higher-value activities.</w:t>
      </w:r>
    </w:p>
    <w:p xmlns:wp14="http://schemas.microsoft.com/office/word/2010/wordml" w14:paraId="362121A1" wp14:textId="77777777">
      <w:pPr>
        <w:pStyle w:val="Heading2"/>
        <w:spacing w:before="240" w:after="120"/>
      </w:pPr>
      <w:r w:rsidRPr="5BBAEF96" w:rsidR="5BBAEF96">
        <w:rPr>
          <w:rFonts w:ascii="Calibri" w:hAnsi="Calibri" w:eastAsia="Calibri" w:cs="Calibri"/>
          <w:b w:val="1"/>
          <w:bCs w:val="1"/>
          <w:color w:val="0B1F3A"/>
          <w:sz w:val="26"/>
          <w:szCs w:val="26"/>
          <w:lang w:val="en-US"/>
        </w:rPr>
        <w:t>6.3  What does not change</w:t>
      </w:r>
    </w:p>
    <w:p xmlns:wp14="http://schemas.microsoft.com/office/word/2010/wordml" w14:paraId="1E4423CF" wp14:textId="77777777">
      <w:pPr>
        <w:pStyle w:val="ListParagraph"/>
        <w:numPr>
          <w:ilvl w:val="0"/>
          <w:numId w:val="2"/>
        </w:numPr>
        <w:spacing w:after="60"/>
      </w:pPr>
      <w:r>
        <w:rPr>
          <w:rFonts w:ascii="Calibri" w:hAnsi="Calibri" w:eastAsia="Calibri" w:cs="Calibri"/>
          <w:color w:val="1E293B"/>
          <w:sz w:val="22"/>
          <w:szCs w:val="22"/>
        </w:rPr>
        <w:t xml:space="preserve">Your SLAs. They move from category-bound to priority-and-CI-bound, but the targets and operating commitments are preserved.</w:t>
      </w:r>
    </w:p>
    <w:p xmlns:wp14="http://schemas.microsoft.com/office/word/2010/wordml" w14:paraId="7F74B57B" wp14:textId="77777777">
      <w:pPr>
        <w:pStyle w:val="ListParagraph"/>
        <w:numPr>
          <w:ilvl w:val="0"/>
          <w:numId w:val="2"/>
        </w:numPr>
        <w:spacing w:after="60"/>
        <w:rPr/>
      </w:pPr>
      <w:r w:rsidRPr="5BBAEF96" w:rsidR="5BBAEF96">
        <w:rPr>
          <w:rFonts w:ascii="Calibri" w:hAnsi="Calibri" w:eastAsia="Calibri" w:cs="Calibri"/>
          <w:color w:val="1E293B"/>
          <w:sz w:val="22"/>
          <w:szCs w:val="22"/>
          <w:lang w:val="en-US"/>
        </w:rPr>
        <w:t>Your approvals and CAB. Change Management's approval flows are unaffected by the categorization realignment.</w:t>
      </w:r>
    </w:p>
    <w:p xmlns:wp14="http://schemas.microsoft.com/office/word/2010/wordml" w14:paraId="3251139A" wp14:textId="77777777">
      <w:pPr>
        <w:pStyle w:val="ListParagraph"/>
        <w:numPr>
          <w:ilvl w:val="0"/>
          <w:numId w:val="2"/>
        </w:numPr>
        <w:spacing w:after="60"/>
      </w:pPr>
      <w:r>
        <w:rPr>
          <w:rFonts w:ascii="Calibri" w:hAnsi="Calibri" w:eastAsia="Calibri" w:cs="Calibri"/>
          <w:color w:val="1E293B"/>
          <w:sz w:val="22"/>
          <w:szCs w:val="22"/>
        </w:rPr>
        <w:t xml:space="preserve">Your security and access model. User Criteria, role-based access, and KB audiences are unchanged.</w:t>
      </w:r>
    </w:p>
    <w:p xmlns:wp14="http://schemas.microsoft.com/office/word/2010/wordml" w14:paraId="6DB26446" wp14:textId="77777777">
      <w:pPr>
        <w:pStyle w:val="ListParagraph"/>
        <w:numPr>
          <w:ilvl w:val="0"/>
          <w:numId w:val="2"/>
        </w:numPr>
        <w:spacing w:after="60"/>
        <w:rPr/>
      </w:pPr>
      <w:r w:rsidRPr="5BBAEF96" w:rsidR="5BBAEF96">
        <w:rPr>
          <w:rFonts w:ascii="Calibri" w:hAnsi="Calibri" w:eastAsia="Calibri" w:cs="Calibri"/>
          <w:color w:val="1E293B"/>
          <w:sz w:val="22"/>
          <w:szCs w:val="22"/>
          <w:lang w:val="en-US"/>
        </w:rPr>
        <w:t>Your processes. Incident, Problem, Change, Request, Knowledge — the processes themselves don't change. Only the categorization that supports them.</w:t>
      </w:r>
    </w:p>
    <w:p xmlns:wp14="http://schemas.microsoft.com/office/word/2010/wordml" w14:paraId="0E27B00A" wp14:textId="77777777">
      <w:r>
        <w:br w:type="page"/>
      </w:r>
    </w:p>
    <w:p xmlns:wp14="http://schemas.microsoft.com/office/word/2010/wordml" w14:paraId="62F6B49C" wp14:textId="77777777">
      <w:pPr>
        <w:pStyle w:val="Heading1"/>
        <w:spacing w:before="360" w:after="180"/>
      </w:pPr>
      <w:r>
        <w:rPr>
          <w:rFonts w:ascii="Calibri" w:hAnsi="Calibri" w:eastAsia="Calibri" w:cs="Calibri"/>
          <w:b/>
          <w:bCs/>
          <w:color w:val="0B1F3A"/>
          <w:sz w:val="32"/>
          <w:szCs w:val="32"/>
        </w:rPr>
        <w:t xml:space="preserve">7.  The Long-Term Picture</w:t>
      </w:r>
    </w:p>
    <w:p xmlns:wp14="http://schemas.microsoft.com/office/word/2010/wordml" w14:paraId="67F2596A" wp14:textId="77777777">
      <w:pPr>
        <w:spacing w:after="120"/>
      </w:pPr>
      <w:r w:rsidRPr="5BBAEF96" w:rsidR="5BBAEF96">
        <w:rPr>
          <w:rFonts w:ascii="Calibri" w:hAnsi="Calibri" w:eastAsia="Calibri" w:cs="Calibri"/>
          <w:color w:val="1E293B"/>
          <w:sz w:val="22"/>
          <w:szCs w:val="22"/>
          <w:lang w:val="en-US"/>
        </w:rPr>
        <w:t>This is where the realignment goes from "a sensible cleanup" to "a strategic move on the platform investment."</w:t>
      </w:r>
    </w:p>
    <w:p xmlns:wp14="http://schemas.microsoft.com/office/word/2010/wordml" w14:paraId="0E5D8FC2" wp14:textId="77777777">
      <w:pPr>
        <w:pStyle w:val="Heading2"/>
        <w:spacing w:before="240" w:after="120"/>
      </w:pPr>
      <w:r w:rsidRPr="5BBAEF96" w:rsidR="5BBAEF96">
        <w:rPr>
          <w:rFonts w:ascii="Calibri" w:hAnsi="Calibri" w:eastAsia="Calibri" w:cs="Calibri"/>
          <w:b w:val="1"/>
          <w:bCs w:val="1"/>
          <w:color w:val="0B1F3A"/>
          <w:sz w:val="26"/>
          <w:szCs w:val="26"/>
          <w:lang w:val="en-US"/>
        </w:rPr>
        <w:t>7.1  The five-year horizon</w:t>
      </w:r>
    </w:p>
    <w:p xmlns:wp14="http://schemas.microsoft.com/office/word/2010/wordml" w14:paraId="02F8846B" wp14:textId="77777777">
      <w:pPr>
        <w:spacing w:after="120"/>
      </w:pPr>
      <w:r w:rsidRPr="5BBAEF96" w:rsidR="5BBAEF96">
        <w:rPr>
          <w:rFonts w:ascii="Calibri" w:hAnsi="Calibri" w:eastAsia="Calibri" w:cs="Calibri"/>
          <w:color w:val="1E293B"/>
          <w:sz w:val="22"/>
          <w:szCs w:val="22"/>
          <w:lang w:val="en-US"/>
        </w:rPr>
        <w:t>Customers who realign to OOTB-aligned categorization in Phase 1 are positioned to absorb each subsequent ServiceNow release without re-engineering. New ServiceNow features in 2026, 2027, and beyond — which will continue to assume CSDM and standard categorization — work natively. Customers who carry forward the legacy structure spend each release cycle either skipping new features or paying to re-customize them onto the legacy model.</w:t>
      </w:r>
    </w:p>
    <w:p xmlns:wp14="http://schemas.microsoft.com/office/word/2010/wordml" w14:paraId="1260940C" wp14:textId="77777777">
      <w:pPr>
        <w:pStyle w:val="Heading2"/>
        <w:spacing w:before="240" w:after="120"/>
      </w:pPr>
      <w:r w:rsidRPr="5BBAEF96" w:rsidR="5BBAEF96">
        <w:rPr>
          <w:rFonts w:ascii="Calibri" w:hAnsi="Calibri" w:eastAsia="Calibri" w:cs="Calibri"/>
          <w:b w:val="1"/>
          <w:bCs w:val="1"/>
          <w:color w:val="0B1F3A"/>
          <w:sz w:val="26"/>
          <w:szCs w:val="26"/>
          <w:lang w:val="en-US"/>
        </w:rPr>
        <w:t>7.2  The AI capability ramp</w:t>
      </w:r>
    </w:p>
    <w:p xmlns:wp14="http://schemas.microsoft.com/office/word/2010/wordml" w14:paraId="38014D87" wp14:textId="77777777">
      <w:pPr>
        <w:spacing w:after="120"/>
      </w:pPr>
      <w:r w:rsidRPr="5BBAEF96" w:rsidR="5BBAEF96">
        <w:rPr>
          <w:rFonts w:ascii="Calibri" w:hAnsi="Calibri" w:eastAsia="Calibri" w:cs="Calibri"/>
          <w:color w:val="1E293B"/>
          <w:sz w:val="22"/>
          <w:szCs w:val="22"/>
          <w:lang w:val="en-US"/>
        </w:rPr>
        <w:t>Each ServiceNow release deepens the AI capabilities. Now Assist, Agentic Agents, the Workflow Data Fabric, and capabilities not yet announced all assume a clean foundation. The realignment isn't just about today's AI features delivering — it's about the platform staying useful as AI capabilities continue to ramp. Today's Predictive Intelligence is table-stakes; tomorrow's autonomous agents will require even more from the data foundation.</w:t>
      </w:r>
    </w:p>
    <w:p xmlns:wp14="http://schemas.microsoft.com/office/word/2010/wordml" w14:paraId="640AC082" wp14:textId="77777777">
      <w:pPr>
        <w:pStyle w:val="Heading2"/>
        <w:spacing w:before="240" w:after="120"/>
      </w:pPr>
      <w:r w:rsidRPr="5BBAEF96" w:rsidR="5BBAEF96">
        <w:rPr>
          <w:rFonts w:ascii="Calibri" w:hAnsi="Calibri" w:eastAsia="Calibri" w:cs="Calibri"/>
          <w:b w:val="1"/>
          <w:bCs w:val="1"/>
          <w:color w:val="0B1F3A"/>
          <w:sz w:val="26"/>
          <w:szCs w:val="26"/>
          <w:lang w:val="en-US"/>
        </w:rPr>
        <w:t>7.3  The compound value</w:t>
      </w:r>
    </w:p>
    <w:p xmlns:wp14="http://schemas.microsoft.com/office/word/2010/wordml" w14:paraId="47D07E35" wp14:textId="77777777">
      <w:pPr>
        <w:spacing w:after="120"/>
      </w:pPr>
      <w:r w:rsidRPr="5BBAEF96" w:rsidR="5BBAEF96">
        <w:rPr>
          <w:rFonts w:ascii="Calibri" w:hAnsi="Calibri" w:eastAsia="Calibri" w:cs="Calibri"/>
          <w:color w:val="1E293B"/>
          <w:sz w:val="22"/>
          <w:szCs w:val="22"/>
          <w:lang w:val="en-US"/>
        </w:rPr>
        <w:t>ServiceNow license costs grow over time. The customers who get the most realized value from those licenses are not the customers with the most customizations — they are the customers whose foundation can absorb each new license capability without re-architecture. The categorization realignment is one of the most leveraged decisions in that compound-value picture: small surface area, large impact on what the platform can do for you over the next decade.</w:t>
      </w:r>
    </w:p>
    <w:p xmlns:wp14="http://schemas.microsoft.com/office/word/2010/wordml" w14:paraId="60061E4C" wp14:textId="77777777">
      <w:r>
        <w:br w:type="page"/>
      </w:r>
    </w:p>
    <w:p xmlns:wp14="http://schemas.microsoft.com/office/word/2010/wordml" w14:paraId="336DEB0B" wp14:textId="77777777">
      <w:pPr>
        <w:pStyle w:val="Heading1"/>
        <w:spacing w:before="360" w:after="180"/>
      </w:pPr>
      <w:r>
        <w:rPr>
          <w:rFonts w:ascii="Calibri" w:hAnsi="Calibri" w:eastAsia="Calibri" w:cs="Calibri"/>
          <w:b/>
          <w:bCs/>
          <w:color w:val="0B1F3A"/>
          <w:sz w:val="32"/>
          <w:szCs w:val="32"/>
        </w:rPr>
        <w:t xml:space="preserve">8.  Frequently Asked Questions</w:t>
      </w:r>
    </w:p>
    <w:p xmlns:wp14="http://schemas.microsoft.com/office/word/2010/wordml" w14:paraId="61D9A870" wp14:textId="77777777">
      <w:pPr>
        <w:spacing w:after="120"/>
      </w:pPr>
      <w:r>
        <w:rPr>
          <w:rFonts w:ascii="Calibri" w:hAnsi="Calibri" w:eastAsia="Calibri" w:cs="Calibri"/>
          <w:b/>
          <w:bCs/>
          <w:color w:val="1E293B"/>
          <w:sz w:val="22"/>
          <w:szCs w:val="22"/>
        </w:rPr>
        <w:t xml:space="preserve">"How long does the realignment take?"</w:t>
      </w:r>
    </w:p>
    <w:p xmlns:wp14="http://schemas.microsoft.com/office/word/2010/wordml" w14:paraId="217310CA" wp14:textId="77777777">
      <w:pPr>
        <w:spacing w:after="120"/>
      </w:pPr>
      <w:r w:rsidRPr="5BBAEF96" w:rsidR="5BBAEF96">
        <w:rPr>
          <w:rFonts w:ascii="Calibri" w:hAnsi="Calibri" w:eastAsia="Calibri" w:cs="Calibri"/>
          <w:color w:val="1E293B"/>
          <w:sz w:val="22"/>
          <w:szCs w:val="22"/>
          <w:lang w:val="en-US"/>
        </w:rPr>
        <w:t>It runs as part of the standard 18-week Phase 1 engagement. Workshops in Sprints 1 and 2; configuration in Sprints 3 and 4; cutover in the Phase 1 production cutover window. There's no separate project timeline — it's woven into the reimplementation.</w:t>
      </w:r>
    </w:p>
    <w:p xmlns:wp14="http://schemas.microsoft.com/office/word/2010/wordml" w14:paraId="2F64062A" wp14:textId="77777777">
      <w:pPr>
        <w:spacing w:after="120"/>
      </w:pPr>
      <w:r>
        <w:rPr>
          <w:rFonts w:ascii="Calibri" w:hAnsi="Calibri" w:eastAsia="Calibri" w:cs="Calibri"/>
          <w:b/>
          <w:bCs/>
          <w:color w:val="1E293B"/>
          <w:sz w:val="22"/>
          <w:szCs w:val="22"/>
        </w:rPr>
        <w:t xml:space="preserve">"Will our service desk's productivity drop during the transition?"</w:t>
      </w:r>
    </w:p>
    <w:p xmlns:wp14="http://schemas.microsoft.com/office/word/2010/wordml" w14:paraId="11275F6A" wp14:textId="77777777">
      <w:pPr>
        <w:spacing w:after="120"/>
      </w:pPr>
      <w:r w:rsidRPr="5BBAEF96" w:rsidR="5BBAEF96">
        <w:rPr>
          <w:rFonts w:ascii="Calibri" w:hAnsi="Calibri" w:eastAsia="Calibri" w:cs="Calibri"/>
          <w:color w:val="1E293B"/>
          <w:sz w:val="22"/>
          <w:szCs w:val="22"/>
          <w:lang w:val="en-US"/>
        </w:rPr>
        <w:t>Slightly, for about 30 days post-cutover. After that, productivity typically improves because there's less dropdown navigation, fewer decisions per ticket, and Predictive Intelligence does most of the categorization. Average handle time generally drops 10–20% after the transition window.</w:t>
      </w:r>
    </w:p>
    <w:p xmlns:wp14="http://schemas.microsoft.com/office/word/2010/wordml" w14:paraId="1FD740C5" wp14:textId="77777777">
      <w:pPr>
        <w:spacing w:after="120"/>
      </w:pPr>
      <w:r>
        <w:rPr>
          <w:rFonts w:ascii="Calibri" w:hAnsi="Calibri" w:eastAsia="Calibri" w:cs="Calibri"/>
          <w:b/>
          <w:bCs/>
          <w:color w:val="1E293B"/>
          <w:sz w:val="22"/>
          <w:szCs w:val="22"/>
        </w:rPr>
        <w:t xml:space="preserve">"What about our SLAs that are tied to specific categories today?"</w:t>
      </w:r>
    </w:p>
    <w:p xmlns:wp14="http://schemas.microsoft.com/office/word/2010/wordml" w14:paraId="48A1DE6C" wp14:textId="77777777">
      <w:pPr>
        <w:spacing w:after="120"/>
      </w:pPr>
      <w:r w:rsidRPr="5BBAEF96" w:rsidR="5BBAEF96">
        <w:rPr>
          <w:rFonts w:ascii="Calibri" w:hAnsi="Calibri" w:eastAsia="Calibri" w:cs="Calibri"/>
          <w:color w:val="1E293B"/>
          <w:sz w:val="22"/>
          <w:szCs w:val="22"/>
          <w:lang w:val="en-US"/>
        </w:rPr>
        <w:t>They move to priority and CI criticality. The operational commitments are preserved; the technical binding moves from "category = X" to "priority = Y AND CI is part of service Z." The new model is more durable — your SLAs survive organizational changes that would have broken them in the old model.</w:t>
      </w:r>
    </w:p>
    <w:p xmlns:wp14="http://schemas.microsoft.com/office/word/2010/wordml" w14:paraId="61AE8C71" wp14:textId="77777777">
      <w:pPr>
        <w:spacing w:after="120"/>
      </w:pPr>
      <w:r>
        <w:rPr>
          <w:rFonts w:ascii="Calibri" w:hAnsi="Calibri" w:eastAsia="Calibri" w:cs="Calibri"/>
          <w:b/>
          <w:bCs/>
          <w:color w:val="1E293B"/>
          <w:sz w:val="22"/>
          <w:szCs w:val="22"/>
        </w:rPr>
        <w:t xml:space="preserve">"What if a new technology comes out that doesn't fit our new categories?"</w:t>
      </w:r>
    </w:p>
    <w:p xmlns:wp14="http://schemas.microsoft.com/office/word/2010/wordml" w14:paraId="6C1110DC" wp14:textId="77777777">
      <w:pPr>
        <w:spacing w:after="120"/>
      </w:pPr>
      <w:r w:rsidRPr="5BBAEF96" w:rsidR="5BBAEF96">
        <w:rPr>
          <w:rFonts w:ascii="Calibri" w:hAnsi="Calibri" w:eastAsia="Calibri" w:cs="Calibri"/>
          <w:color w:val="1E293B"/>
          <w:sz w:val="22"/>
          <w:szCs w:val="22"/>
          <w:lang w:val="en-US"/>
        </w:rPr>
        <w:t>New technologies are CIs in the CMDB, not new dropdown leaves. When you adopt a new SaaS tool, you add it as an Application Service in CSDM with its supporting relationships. Routing follows automatically. Your dropdown stays stable.</w:t>
      </w:r>
    </w:p>
    <w:p xmlns:wp14="http://schemas.microsoft.com/office/word/2010/wordml" w14:paraId="001D5CED" wp14:textId="77777777">
      <w:pPr>
        <w:spacing w:after="120"/>
      </w:pPr>
      <w:r>
        <w:rPr>
          <w:rFonts w:ascii="Calibri" w:hAnsi="Calibri" w:eastAsia="Calibri" w:cs="Calibri"/>
          <w:b/>
          <w:bCs/>
          <w:color w:val="1E293B"/>
          <w:sz w:val="22"/>
          <w:szCs w:val="22"/>
        </w:rPr>
        <w:t xml:space="preserve">"Are you saying our team's work for the past several years was wrong?"</w:t>
      </w:r>
    </w:p>
    <w:p xmlns:wp14="http://schemas.microsoft.com/office/word/2010/wordml" w14:paraId="79C98EDC" wp14:textId="77777777">
      <w:pPr>
        <w:spacing w:after="120"/>
      </w:pPr>
      <w:r w:rsidRPr="5BBAEF96" w:rsidR="5BBAEF96">
        <w:rPr>
          <w:rFonts w:ascii="Calibri" w:hAnsi="Calibri" w:eastAsia="Calibri" w:cs="Calibri"/>
          <w:color w:val="1E293B"/>
          <w:sz w:val="22"/>
          <w:szCs w:val="22"/>
          <w:lang w:val="en-US"/>
        </w:rPr>
        <w:t>No. Your team built the right thing for the platform you had. The platform now has substantially different capabilities, and the right thing is now different. Your team's accumulated categorization data is, in fact, one of the most valuable inputs to Predictive Intelligence — your work continues to deliver value, through a different mechanism.</w:t>
      </w:r>
    </w:p>
    <w:p xmlns:wp14="http://schemas.microsoft.com/office/word/2010/wordml" w14:paraId="6EA85E0B" wp14:textId="77777777">
      <w:pPr>
        <w:spacing w:after="120"/>
      </w:pPr>
      <w:r>
        <w:rPr>
          <w:rFonts w:ascii="Calibri" w:hAnsi="Calibri" w:eastAsia="Calibri" w:cs="Calibri"/>
          <w:b/>
          <w:bCs/>
          <w:color w:val="1E293B"/>
          <w:sz w:val="22"/>
          <w:szCs w:val="22"/>
        </w:rPr>
        <w:t xml:space="preserve">"What if we discover after cutover that we need a category we didn't anticipate?"</w:t>
      </w:r>
    </w:p>
    <w:p xmlns:wp14="http://schemas.microsoft.com/office/word/2010/wordml" w14:paraId="576651A5" wp14:textId="77777777">
      <w:pPr>
        <w:spacing w:after="120"/>
      </w:pPr>
      <w:r w:rsidRPr="5BBAEF96" w:rsidR="5BBAEF96">
        <w:rPr>
          <w:rFonts w:ascii="Calibri" w:hAnsi="Calibri" w:eastAsia="Calibri" w:cs="Calibri"/>
          <w:color w:val="1E293B"/>
          <w:sz w:val="22"/>
          <w:szCs w:val="22"/>
          <w:lang w:val="en-US"/>
        </w:rPr>
        <w:t>It's a configurable system. Adding a leaf is a low-friction Knowledge Manager-level change. The point isn't that the tree is frozen — it's that growth is deliberate, not accumulated drift.</w:t>
      </w:r>
    </w:p>
    <w:p xmlns:wp14="http://schemas.microsoft.com/office/word/2010/wordml" w14:paraId="35D88336" wp14:textId="77777777">
      <w:pPr>
        <w:spacing w:after="120"/>
      </w:pPr>
      <w:r>
        <w:rPr>
          <w:rFonts w:ascii="Calibri" w:hAnsi="Calibri" w:eastAsia="Calibri" w:cs="Calibri"/>
          <w:b/>
          <w:bCs/>
          <w:color w:val="1E293B"/>
          <w:sz w:val="22"/>
          <w:szCs w:val="22"/>
        </w:rPr>
        <w:t xml:space="preserve">"How do we know the new structure will actually work for us?"</w:t>
      </w:r>
    </w:p>
    <w:p xmlns:wp14="http://schemas.microsoft.com/office/word/2010/wordml" w14:paraId="60F7D9B5" wp14:textId="77777777">
      <w:pPr>
        <w:spacing w:after="120"/>
      </w:pPr>
      <w:r w:rsidRPr="5BBAEF96" w:rsidR="5BBAEF96">
        <w:rPr>
          <w:rFonts w:ascii="Calibri" w:hAnsi="Calibri" w:eastAsia="Calibri" w:cs="Calibri"/>
          <w:color w:val="1E293B"/>
          <w:sz w:val="22"/>
          <w:szCs w:val="22"/>
          <w:lang w:val="en-US"/>
        </w:rPr>
        <w:t>Workshop 1 walks through your last 60–90 days of data and demonstrates the routing patterns hidden in your current structure. Workshop 3 maps your top 50 legacy categories to the new tree — you see directly that nothing operational is lost. Sub-prod testing happens before cutover; the production model is the one you signed off on.</w:t>
      </w:r>
    </w:p>
    <w:p xmlns:wp14="http://schemas.microsoft.com/office/word/2010/wordml" w14:paraId="2D5A03F8" wp14:textId="77777777">
      <w:pPr>
        <w:spacing w:after="120"/>
      </w:pPr>
      <w:r>
        <w:rPr>
          <w:rFonts w:ascii="Calibri" w:hAnsi="Calibri" w:eastAsia="Calibri" w:cs="Calibri"/>
          <w:b/>
          <w:bCs/>
          <w:color w:val="1E293B"/>
          <w:sz w:val="22"/>
          <w:szCs w:val="22"/>
        </w:rPr>
        <w:t xml:space="preserve">"What if our process owners object to the simplification?"</w:t>
      </w:r>
    </w:p>
    <w:p xmlns:wp14="http://schemas.microsoft.com/office/word/2010/wordml" w14:paraId="2734E2CE" wp14:textId="77777777">
      <w:pPr>
        <w:spacing w:after="120"/>
      </w:pPr>
      <w:r w:rsidRPr="5BBAEF96" w:rsidR="5BBAEF96">
        <w:rPr>
          <w:rFonts w:ascii="Calibri" w:hAnsi="Calibri" w:eastAsia="Calibri" w:cs="Calibri"/>
          <w:color w:val="1E293B"/>
          <w:sz w:val="22"/>
          <w:szCs w:val="22"/>
          <w:lang w:val="en-US"/>
        </w:rPr>
        <w:t>That's a Sponsor-level conversation. The Governance Charter we co-sign at the start of the engagement establishes the OOTB-first principle. Process owners with concerns are heard through the Governance Board (described in the Charter) — and their concerns are evaluated against business need, not preference. Most concerns turn out to be addressable within the new structure once we walk through specific examples.</w:t>
      </w:r>
    </w:p>
    <w:p xmlns:wp14="http://schemas.microsoft.com/office/word/2010/wordml" w14:paraId="44EAFD9C" wp14:textId="77777777">
      <w:r>
        <w:br w:type="page"/>
      </w:r>
    </w:p>
    <w:p xmlns:wp14="http://schemas.microsoft.com/office/word/2010/wordml" w14:paraId="1B73DEA9" wp14:textId="77777777">
      <w:pPr>
        <w:pStyle w:val="Heading1"/>
        <w:spacing w:before="360" w:after="180"/>
      </w:pPr>
      <w:r>
        <w:rPr>
          <w:rFonts w:ascii="Calibri" w:hAnsi="Calibri" w:eastAsia="Calibri" w:cs="Calibri"/>
          <w:b/>
          <w:bCs/>
          <w:color w:val="0B1F3A"/>
          <w:sz w:val="32"/>
          <w:szCs w:val="32"/>
        </w:rPr>
        <w:t xml:space="preserve">9.  How We Work Together</w:t>
      </w:r>
    </w:p>
    <w:p xmlns:wp14="http://schemas.microsoft.com/office/word/2010/wordml" w14:paraId="3313EEC2" wp14:textId="77777777">
      <w:pPr>
        <w:spacing w:after="120"/>
      </w:pPr>
      <w:r w:rsidRPr="5BBAEF96" w:rsidR="5BBAEF96">
        <w:rPr>
          <w:rFonts w:ascii="Calibri" w:hAnsi="Calibri" w:eastAsia="Calibri" w:cs="Calibri"/>
          <w:color w:val="1E293B"/>
          <w:sz w:val="22"/>
          <w:szCs w:val="22"/>
          <w:lang w:val="en-US"/>
        </w:rPr>
        <w:t>This is a partnership, not a vendor-led conversion. The four-workshop sequence is designed so you and your team co-design the outcome — we bring the analysis and the OOTB pattern; you bring the operational knowledge and the decisions. Sign-off on the new categorization happens in Workshop 3, with you and your process owner. Sign-off on the migration mapping happens before configuration. Cutover happens with your readiness, not on a fixed date.</w:t>
      </w:r>
    </w:p>
    <w:p xmlns:wp14="http://schemas.microsoft.com/office/word/2010/wordml" w14:paraId="39025C60" wp14:textId="77777777">
      <w:pPr>
        <w:spacing w:after="120"/>
      </w:pPr>
      <w:r w:rsidRPr="5BBAEF96" w:rsidR="5BBAEF96">
        <w:rPr>
          <w:rFonts w:ascii="Calibri" w:hAnsi="Calibri" w:eastAsia="Calibri" w:cs="Calibri"/>
          <w:color w:val="1E293B"/>
          <w:sz w:val="22"/>
          <w:szCs w:val="22"/>
          <w:lang w:val="en-US"/>
        </w:rPr>
        <w:t>If the realignment doesn't make sense for your situation — which is rare, but happens — we identify it early in Workshops 1 and 2 and route to the Governance Board. The OOTB-first principle isn't a religion; it's a default that holds for most cases and that gets challenged when there's a genuine business reason.</w:t>
      </w:r>
    </w:p>
    <w:p xmlns:wp14="http://schemas.microsoft.com/office/word/2010/wordml" w14:paraId="0E95F3F9" wp14:textId="77777777">
      <w:pPr>
        <w:spacing w:after="120"/>
      </w:pPr>
      <w:r>
        <w:rPr>
          <w:rFonts w:ascii="Calibri" w:hAnsi="Calibri" w:eastAsia="Calibri" w:cs="Calibri"/>
          <w:color w:val="1E293B"/>
          <w:sz w:val="22"/>
          <w:szCs w:val="22"/>
        </w:rPr>
        <w:t xml:space="preserve">Before our first workshop, the most useful thing you can do is share this paper with your Service Desk Manager, your IT Operations Manager, and the named Process Owners for Incident, Request, and Change. Their questions before the workshop are easier to address than during it.</w:t>
      </w:r>
    </w:p>
    <w:p xmlns:wp14="http://schemas.microsoft.com/office/word/2010/wordml" w14:paraId="76A66414" wp14:textId="77777777">
      <w:pPr>
        <w:spacing w:after="120"/>
      </w:pPr>
      <w:r w:rsidRPr="5BBAEF96" w:rsidR="5BBAEF96">
        <w:rPr>
          <w:rFonts w:ascii="Calibri" w:hAnsi="Calibri" w:eastAsia="Calibri" w:cs="Calibri"/>
          <w:b w:val="1"/>
          <w:bCs w:val="1"/>
          <w:color w:val="1E293B"/>
          <w:sz w:val="22"/>
          <w:szCs w:val="22"/>
          <w:lang w:val="en-US"/>
        </w:rPr>
        <w:t>Looking forward to the conversation.</w:t>
      </w:r>
    </w:p>
    <w:p xmlns:wp14="http://schemas.microsoft.com/office/word/2010/wordml" w14:paraId="45DD8D0E" wp14:textId="77777777">
      <w:pPr>
        <w:spacing w:after="120"/>
      </w:pPr>
      <w:r w:rsidRPr="5BBAEF96" w:rsidR="5BBAEF96">
        <w:rPr>
          <w:rFonts w:ascii="Calibri" w:hAnsi="Calibri" w:eastAsia="Calibri" w:cs="Calibri"/>
          <w:b w:val="1"/>
          <w:bCs w:val="1"/>
          <w:color w:val="1E293B"/>
          <w:sz w:val="22"/>
          <w:szCs w:val="22"/>
          <w:lang w:val="en-US"/>
        </w:rPr>
        <w:t>ECS Federal  ·  ServiceNow Practice</w:t>
      </w:r>
    </w:p>
    <w:sectPr>
      <w:headerReference w:type="default" r:id="rId7"/>
      <w:footerReference w:type="default" r:id="rId8"/>
      <w:pgSz w:w="12240" w:h="15840" w:orient="portrait"/>
      <w:pgMar w:top="1620" w:right="1440" w:bottom="1440" w:left="1440" w:header="720" w:footer="576"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7BB82EF0" wp14:textId="77777777">
    <w:pPr>
      <w:tabs>
        <w:tab w:val="right" w:pos="9360"/>
      </w:tabs>
    </w:pPr>
    <w:r>
      <w:rPr>
        <w:rFonts w:ascii="Calibri" w:hAnsi="Calibri" w:eastAsia="Calibri" w:cs="Calibri"/>
        <w:color w:val="475569"/>
        <w:sz w:val="16"/>
        <w:szCs w:val="16"/>
      </w:rPr>
      <w:t xml:space="preserve">ECS Federal · ServiceNow Practice</w:t>
    </w:r>
    <w:r>
      <w:rPr>
        <w:rFonts w:ascii="Calibri" w:hAnsi="Calibri" w:eastAsia="Calibri" w:cs="Calibri"/>
      </w:rPr>
      <w:t xml:space="preserve">	</w:t>
    </w:r>
    <w:r>
      <w:rPr>
        <w:rFonts w:ascii="Calibri" w:hAnsi="Calibri" w:eastAsia="Calibri" w:cs="Calibri"/>
        <w:color w:val="475569"/>
        <w:sz w:val="16"/>
        <w:szCs w:val="16"/>
      </w:rPr>
      <w:t xml:space="preserve">Page </w:t>
    </w:r>
    <w:r>
      <w:rPr>
        <w:rFonts w:ascii="Calibri" w:hAnsi="Calibri" w:eastAsia="Calibri" w:cs="Calibri"/>
        <w:color w:val="475569"/>
        <w:sz w:val="16"/>
        <w:szCs w:val="16"/>
      </w:rPr>
      <w:fldChar w:fldCharType="begin"/>
    </w:r>
    <w:r>
      <w:rPr>
        <w:rFonts w:ascii="Calibri" w:hAnsi="Calibri" w:eastAsia="Calibri" w:cs="Calibri"/>
        <w:color w:val="475569"/>
        <w:sz w:val="16"/>
        <w:szCs w:val="16"/>
      </w:rPr>
      <w:instrText xml:space="preserve">PAGE</w:instrText>
    </w:r>
    <w:r>
      <w:rPr>
        <w:rFonts w:ascii="Calibri" w:hAnsi="Calibri" w:eastAsia="Calibri" w:cs="Calibri"/>
        <w:color w:val="475569"/>
        <w:sz w:val="16"/>
        <w:szCs w:val="16"/>
      </w:rPr>
      <w:fldChar w:fldCharType="separate"/>
    </w:r>
    <w:r>
      <w:rPr>
        <w:rFonts w:ascii="Calibri" w:hAnsi="Calibri" w:eastAsia="Calibri" w:cs="Calibri"/>
        <w:color w:val="475569"/>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xmlns:a="http://schemas.openxmlformats.org/drawingml/2006/main" xmlns:pic="http://schemas.openxmlformats.org/drawingml/2006/picture">
  <w:p xmlns:wp14="http://schemas.microsoft.com/office/word/2010/wordml" w14:paraId="6E1BA608" wp14:textId="77777777">
    <w:pPr>
      <w:tabs>
        <w:tab w:val="right" w:pos="9360"/>
      </w:tabs>
    </w:pPr>
    <w:r w:rsidR="5BBAEF96">
      <w:drawing>
        <wp:inline xmlns:wp14="http://schemas.microsoft.com/office/word/2010/wordprocessingDrawing" wp14:editId="735141DA" wp14:anchorId="1DFFD4CF">
          <wp:extent cx="1047750" cy="200025"/>
          <wp:effectExtent l="0" t="0" r="0" b="0"/>
          <wp:docPr id="799703861" name="Logo" descr="Everforth ECS Federal logo" title="Everforth ECS Federal"/>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descr=""/>
                  <pic:cNvPicPr>
                    <a:picLocks noChangeAspect="1" noChangeArrowheads="1"/>
                  </pic:cNvPicPr>
                </pic:nvPicPr>
                <pic:blipFill>
                  <a:blip xmlns:r="http://schemas.openxmlformats.org/officeDocument/2006/relationships" r:embed="rId0" cstate="none"/>
                  <a:srcRect/>
                  <a:stretch>
                    <a:fillRect/>
                  </a:stretch>
                </pic:blipFill>
                <pic:spPr bwMode="auto">
                  <a:xfrm>
                    <a:off x="0" y="0"/>
                    <a:ext cx="1047750" cy="200025"/>
                  </a:xfrm>
                  <a:prstGeom prst="rect">
                    <a:avLst/>
                  </a:prstGeom>
                </pic:spPr>
              </pic:pic>
            </a:graphicData>
          </a:graphic>
        </wp:inline>
      </w:drawing>
    </w:r>
    <w:r w:rsidRPr="5BBAEF96" w:rsidR="5BBAEF96">
      <w:rPr>
        <w:rFonts w:ascii="Calibri" w:hAnsi="Calibri" w:eastAsia="Calibri" w:cs="Calibri"/>
        <w:color w:val="475569"/>
        <w:spacing w:val="30"/>
        <w:sz w:val="18"/>
        <w:szCs w:val="18"/>
        <w:lang w:val="en-US"/>
      </w:rPr>
      <w:t xml:space="preserve">White Paper  ·  Categorization, the CMDB, and the Path Forward</w:t>
    </w:r>
  </w:p>
  <w:p xmlns:wp14="http://schemas.microsoft.com/office/word/2010/wordml" w14:paraId="3656B9AB" wp14:textId="77777777">
    <w:pPr>
      <w:pBdr>
        <w:bottom w:val="single" w:color="14B8A6" w:sz="8" w:space="1"/>
      </w:pBdr>
      <w:spacing w:before="60"/>
    </w:pPr>
    <w:r>
      <w:rPr>
        <w:sz w:val="4"/>
        <w:szCs w:val="4"/>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19da0a97"/>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4976f74e"/>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267A1BF7"/>
  <w15:docId w15:val="{9DB165E7-07D8-4BBF-8443-F72E6ED4CEE6}"/>
  <w:rsids>
    <w:rsidRoot w:val="5BBAEF96"/>
    <w:rsid w:val="5BBAEF96"/>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Calibri" w:hAnsi="Calibri" w:eastAsia="Calibri" w:cs="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360" w:after="180"/>
      <w:outlineLvl w:val="0"/>
    </w:pPr>
    <w:rPr>
      <w:rFonts w:ascii="Calibri" w:hAnsi="Calibri" w:eastAsia="Calibri" w:cs="Calibri"/>
      <w:b/>
      <w:bCs/>
      <w:color w:val="0B1F3A"/>
      <w:sz w:val="32"/>
      <w:szCs w:val="32"/>
    </w:rPr>
  </w:style>
  <w:style w:type="paragraph" w:styleId="Heading2">
    <w:name w:val="heading 20"/>
    <w:basedOn w:val="Normal"/>
    <w:next w:val="Normal"/>
    <w:qFormat/>
    <w:pPr>
      <w:spacing w:before="240" w:after="120"/>
      <w:outlineLvl w:val="1"/>
    </w:pPr>
    <w:rPr>
      <w:rFonts w:ascii="Calibri" w:hAnsi="Calibri" w:eastAsia="Calibri" w:cs="Calibri"/>
      <w:b/>
      <w:bCs/>
      <w:color w:val="0B1F3A"/>
      <w:sz w:val="26"/>
      <w:szCs w:val="26"/>
    </w:rPr>
  </w:style>
  <w:style w:type="paragraph" w:styleId="Heading3">
    <w:name w:val="heading 30"/>
    <w:basedOn w:val="Normal"/>
    <w:next w:val="Normal"/>
    <w:qFormat/>
    <w:pPr>
      <w:spacing w:before="200" w:after="100"/>
      <w:outlineLvl w:val="2"/>
    </w:pPr>
    <w:rPr>
      <w:rFonts w:ascii="Calibri" w:hAnsi="Calibri" w:eastAsia="Calibri" w:cs="Calibri"/>
      <w:b/>
      <w:bCs/>
      <w:color w:val="0D9488"/>
      <w:sz w:val="22"/>
      <w:szCs w:val="22"/>
    </w:rPr>
  </w:style>
</w:style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customXml" Target="../customXml/item3.xml" Id="rId13" /><Relationship Type="http://schemas.openxmlformats.org/officeDocument/2006/relationships/header" Target="header1.xml" Id="rId7" /><Relationship Type="http://schemas.openxmlformats.org/officeDocument/2006/relationships/customXml" Target="../customXml/item2.xml" Id="rId12" /><Relationship Type="http://schemas.openxmlformats.org/officeDocument/2006/relationships/numbering" Target="numbering.xml" Id="rId2" /><Relationship Type="http://schemas.openxmlformats.org/officeDocument/2006/relationships/styles" Target="styles.xml" Id="rId1" /><Relationship Type="http://schemas.openxmlformats.org/officeDocument/2006/relationships/customXml" Target="../customXml/item1.xml" Id="rId11" /><Relationship Type="http://schemas.openxmlformats.org/officeDocument/2006/relationships/settings" Target="settings.xml" Id="rId5" /><Relationship Type="http://schemas.openxmlformats.org/officeDocument/2006/relationships/fontTable" Target="fontTable.xml" Id="rId10" /><Relationship Type="http://schemas.openxmlformats.org/officeDocument/2006/relationships/image" Target="media/154846f4066746b49259fb08f2a83d17c2a67096.png" Id="rId9" /><Relationship Type="http://schemas.openxmlformats.org/officeDocument/2006/relationships/customXml" Target="../customXml/item4.xml" Id="rId14"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154846f4066746b49259fb08f2a83d17c2a67096.png"/></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C18AF536E63484A9B73CECC96E010FF" ma:contentTypeVersion="19" ma:contentTypeDescription="Create a new document." ma:contentTypeScope="" ma:versionID="33422ae79d2a315b8c303e9c27e5a991">
  <xsd:schema xmlns:xsd="http://www.w3.org/2001/XMLSchema" xmlns:xs="http://www.w3.org/2001/XMLSchema" xmlns:p="http://schemas.microsoft.com/office/2006/metadata/properties" xmlns:ns2="d1ffb523-bb88-49c4-b429-725e751bd64a" xmlns:ns3="ea10e7c1-45f6-45a6-9220-470b2ac38f45" targetNamespace="http://schemas.microsoft.com/office/2006/metadata/properties" ma:root="true" ma:fieldsID="02f734f998161832bfcf327b16e32379" ns2:_="" ns3:_="">
    <xsd:import namespace="d1ffb523-bb88-49c4-b429-725e751bd64a"/>
    <xsd:import namespace="ea10e7c1-45f6-45a6-9220-470b2ac38f45"/>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AutoKeyPoints" minOccurs="0"/>
                <xsd:element ref="ns2:MediaServiceKeyPoints" minOccurs="0"/>
                <xsd:element ref="ns2:MediaServiceOCR" minOccurs="0"/>
                <xsd:element ref="ns2:MediaServiceDateTaken" minOccurs="0"/>
                <xsd:element ref="ns2:MediaServiceLocation" minOccurs="0"/>
                <xsd:element ref="ns2:MediaLengthInSeconds" minOccurs="0"/>
                <xsd:element ref="ns2:SN_x0020_Document_x0020_ID"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3:_dlc_DocId" minOccurs="0"/>
                <xsd:element ref="ns3:_dlc_DocIdUrl" minOccurs="0"/>
                <xsd:element ref="ns3:_dlc_DocIdPersistId"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ffb523-bb88-49c4-b429-725e751bd64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SN_x0020_Document_x0020_ID" ma:index="19" nillable="true" ma:displayName="SN Document ID" ma:internalName="SN_x0020_Document_x0020_ID">
      <xsd:simpleType>
        <xsd:restriction base="dms:Text">
          <xsd:maxLength value="255"/>
        </xsd:restriction>
      </xsd:simple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4d9e1cf0-734a-42bd-bffb-729eb9a511c1" ma:termSetId="09814cd3-568e-fe90-9814-8d621ff8fb84" ma:anchorId="fba54fb3-c3e1-fe81-a776-ca4b69148c4d" ma:open="true" ma:isKeyword="false">
      <xsd:complexType>
        <xsd:sequence>
          <xsd:element ref="pc:Terms" minOccurs="0" maxOccurs="1"/>
        </xsd:sequence>
      </xsd:complexType>
    </xsd:element>
    <xsd:element name="MediaServiceSearchProperties" ma:index="2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a10e7c1-45f6-45a6-9220-470b2ac38f45" elementFormDefault="qualified">
    <xsd:import namespace="http://schemas.microsoft.com/office/2006/documentManagement/types"/>
    <xsd:import namespace="http://schemas.microsoft.com/office/infopath/2007/PartnerControls"/>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fd7da812-b143-4bf6-b650-654521c20479}" ma:internalName="TaxCatchAll" ma:showField="CatchAllData" ma:web="ea10e7c1-45f6-45a6-9220-470b2ac38f45">
      <xsd:complexType>
        <xsd:complexContent>
          <xsd:extension base="dms:MultiChoiceLookup">
            <xsd:sequence>
              <xsd:element name="Value" type="dms:Lookup" maxOccurs="unbounded" minOccurs="0" nillable="true"/>
            </xsd:sequence>
          </xsd:extension>
        </xsd:complexContent>
      </xsd:complexType>
    </xsd:element>
    <xsd:element name="_dlc_DocId" ma:index="26" nillable="true" ma:displayName="Document ID Value" ma:description="The value of the document ID assigned to this item." ma:indexed="true" ma:internalName="_dlc_DocId" ma:readOnly="true">
      <xsd:simpleType>
        <xsd:restriction base="dms:Text"/>
      </xsd:simpleType>
    </xsd:element>
    <xsd:element name="_dlc_DocIdUrl" ma:index="27"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8"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SN_x0020_Document_x0020_ID xmlns="d1ffb523-bb88-49c4-b429-725e751bd64a" xsi:nil="true"/>
    <TaxCatchAll xmlns="ea10e7c1-45f6-45a6-9220-470b2ac38f45" xsi:nil="true"/>
    <lcf76f155ced4ddcb4097134ff3c332f xmlns="d1ffb523-bb88-49c4-b429-725e751bd64a">
      <Terms xmlns="http://schemas.microsoft.com/office/infopath/2007/PartnerControls"/>
    </lcf76f155ced4ddcb4097134ff3c332f>
    <_dlc_DocId xmlns="ea10e7c1-45f6-45a6-9220-470b2ac38f45">DOCID-202112391-25640</_dlc_DocId>
    <_dlc_DocIdUrl xmlns="ea10e7c1-45f6-45a6-9220-470b2ac38f45">
      <Url>https://itecsfederal.sharepoint.com/teams/MissionSolutions/ISM/_layouts/15/DocIdRedir.aspx?ID=DOCID-202112391-25640</Url>
      <Description>DOCID-202112391-25640</Description>
    </_dlc_DocIdUrl>
  </documentManagement>
</p:properties>
</file>

<file path=customXml/itemProps1.xml><?xml version="1.0" encoding="utf-8"?>
<ds:datastoreItem xmlns:ds="http://schemas.openxmlformats.org/officeDocument/2006/customXml" ds:itemID="{9C9823B0-0CB8-4855-8768-0409CB8E15DB}"/>
</file>

<file path=customXml/itemProps2.xml><?xml version="1.0" encoding="utf-8"?>
<ds:datastoreItem xmlns:ds="http://schemas.openxmlformats.org/officeDocument/2006/customXml" ds:itemID="{0B957FB8-C2F5-47FC-A3AE-D6F5D631544E}"/>
</file>

<file path=customXml/itemProps3.xml><?xml version="1.0" encoding="utf-8"?>
<ds:datastoreItem xmlns:ds="http://schemas.openxmlformats.org/officeDocument/2006/customXml" ds:itemID="{B54CDA29-DF4E-43BF-8ED0-17C3C11CB161}"/>
</file>

<file path=customXml/itemProps4.xml><?xml version="1.0" encoding="utf-8"?>
<ds:datastoreItem xmlns:ds="http://schemas.openxmlformats.org/officeDocument/2006/customXml" ds:itemID="{CA093D96-FE82-42BB-90EF-CAD56F2037AF}"/>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Categorization, the CMDB, and the Path Forward</dc:title>
  <dc:creator>ECS Federal · ServiceNow Practice</dc:creator>
  <cp:lastModifiedBy>Timothy Hislop</cp:lastModifiedBy>
  <cp:revision>2</cp:revision>
  <dcterms:created xsi:type="dcterms:W3CDTF">2026-05-08T04:39:12Z</dcterms:created>
  <dcterms:modified xsi:type="dcterms:W3CDTF">2026-05-08T05:51:47Z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0x010100DC18AF536E63484A9B73CECC96E010FF</vt:lpwstr>
  </property>
  <property fmtid="{D5CDD505-2E9C-101B-9397-08002B2CF9AE}" pid="3" name="_dlc_DocIdItemGuid">
    <vt:lpwstr>c1ce13ee-a2a6-40d0-95e7-c698766989d7</vt:lpwstr>
  </property>
  <property fmtid="{D5CDD505-2E9C-101B-9397-08002B2CF9AE}" pid="4" name="MediaServiceImageTags">
    <vt:lpwstr/>
  </property>
</Properties>
</file>