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left"/>
      </w:pPr>
      <w:r>
        <w:drawing>
          <wp:inline distT="0" distB="0" distL="0" distR="0">
            <wp:extent cx="2095500" cy="390525"/>
            <wp:effectExtent t="0" r="0" b="0" l="0"/>
            <wp:docPr id="1" name="Logo" descr="Everforth ECS Federal logo" title="Everforth ECS Fede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390525"/>
                    </a:xfrm>
                    <a:prstGeom prst="rect">
                      <a:avLst/>
                    </a:prstGeom>
                  </pic:spPr>
                </pic:pic>
              </a:graphicData>
            </a:graphic>
          </wp:inline>
        </w:drawing>
      </w:r>
    </w:p>
    <w:p>
      <w:pPr>
        <w:spacing w:after="240" w:before="1800"/>
      </w:pPr>
      <w:r>
        <w:rPr>
          <w:rFonts w:ascii="Calibri" w:cs="Calibri" w:eastAsia="Calibri" w:hAnsi="Calibri"/>
          <w:b/>
          <w:bCs/>
          <w:color w:val="14B8A6"/>
          <w:spacing w:val="80"/>
          <w:sz w:val="18"/>
          <w:szCs w:val="18"/>
        </w:rPr>
        <w:t xml:space="preserve">INTERNAL BLUEPRINT</w:t>
      </w:r>
    </w:p>
    <w:p>
      <w:pPr>
        <w:spacing w:after="120"/>
      </w:pPr>
      <w:r>
        <w:rPr>
          <w:rFonts w:ascii="Calibri" w:cs="Calibri" w:eastAsia="Calibri" w:hAnsi="Calibri"/>
          <w:b/>
          <w:bCs/>
          <w:color w:val="0B1F3A"/>
          <w:sz w:val="56"/>
          <w:szCs w:val="56"/>
        </w:rPr>
        <w:t xml:space="preserve">ECS Accelerator Pack</w:t>
      </w:r>
    </w:p>
    <w:p>
      <w:pPr>
        <w:spacing w:after="120"/>
      </w:pPr>
      <w:r>
        <w:rPr>
          <w:rFonts w:ascii="Calibri" w:cs="Calibri" w:eastAsia="Calibri" w:hAnsi="Calibri"/>
          <w:b/>
          <w:bCs/>
          <w:color w:val="0B1F3A"/>
          <w:sz w:val="56"/>
          <w:szCs w:val="56"/>
        </w:rPr>
        <w:t xml:space="preserve">Blueprint</w:t>
      </w:r>
    </w:p>
    <w:p>
      <w:pPr>
        <w:spacing w:after="480"/>
      </w:pPr>
      <w:r>
        <w:rPr>
          <w:rFonts w:ascii="Calibri" w:cs="Calibri" w:eastAsia="Calibri" w:hAnsi="Calibri"/>
          <w:i/>
          <w:iCs/>
          <w:color w:val="0D9488"/>
          <w:sz w:val="24"/>
          <w:szCs w:val="24"/>
        </w:rPr>
        <w:t xml:space="preserve">How we build customer-ready Accelerator Packs that bridge ServiceNow Success Packs to Day-1 OOTB delivery</w:t>
      </w:r>
    </w:p>
    <w:p>
      <w:pPr>
        <w:pBdr>
          <w:bottom w:val="single" w:color="14B8A6" w:sz="12" w:space="1"/>
        </w:pBdr>
      </w:pPr>
      <w:r>
        <w:t xml:space="preserve"/>
      </w:r>
    </w:p>
    <w:p>
      <w:pPr>
        <w:spacing w:after="60" w:before="200"/>
      </w:pPr>
      <w:r>
        <w:rPr>
          <w:rFonts w:ascii="Calibri" w:cs="Calibri" w:eastAsia="Calibri" w:hAnsi="Calibri"/>
          <w:i w:val="false"/>
          <w:iCs w:val="false"/>
          <w:color w:val="1E293B"/>
          <w:sz w:val="22"/>
          <w:szCs w:val="22"/>
        </w:rPr>
        <w:t xml:space="preserve">ECS Federal  ·  ServiceNow Practice</w:t>
      </w:r>
    </w:p>
    <w:p>
      <w:pPr>
        <w:spacing w:after="60" w:before="0"/>
      </w:pPr>
      <w:r>
        <w:rPr>
          <w:rFonts w:ascii="Calibri" w:cs="Calibri" w:eastAsia="Calibri" w:hAnsi="Calibri"/>
          <w:i w:val="false"/>
          <w:iCs w:val="false"/>
          <w:color w:val="1E293B"/>
          <w:sz w:val="22"/>
          <w:szCs w:val="22"/>
        </w:rPr>
        <w:t xml:space="preserve">Audience: Accelerator Pack Builder, Solution Architects, Practice Lead</w:t>
      </w:r>
    </w:p>
    <w:p>
      <w:pPr>
        <w:spacing w:after="60" w:before="0"/>
      </w:pPr>
      <w:r>
        <w:rPr>
          <w:rFonts w:ascii="Calibri" w:cs="Calibri" w:eastAsia="Calibri" w:hAnsi="Calibri"/>
          <w:i/>
          <w:iCs/>
          <w:color w:val="475569"/>
          <w:sz w:val="18"/>
          <w:szCs w:val="18"/>
        </w:rPr>
        <w:t xml:space="preserve">Internal Use Only · Confidential</w:t>
      </w:r>
    </w:p>
    <w:p>
      <w:pPr>
        <w:sectPr>
          <w:pgSz w:w="12240" w:h="15840" w:orient="portrait"/>
          <w:pgMar w:top="1440" w:right="1440" w:bottom="1440" w:left="1440" w:header="708" w:footer="708" w:gutter="0"/>
          <w:pgNumType/>
          <w:titlePg/>
          <w:docGrid w:linePitch="360"/>
        </w:sectPr>
      </w:pPr>
    </w:p>
    <w:p>
      <w:pPr>
        <w:pStyle w:val="Heading1"/>
        <w:spacing w:after="180" w:before="360"/>
      </w:pPr>
      <w:r>
        <w:rPr>
          <w:rFonts w:ascii="Calibri" w:cs="Calibri" w:eastAsia="Calibri" w:hAnsi="Calibri"/>
          <w:b/>
          <w:bCs/>
          <w:color w:val="0B1F3A"/>
          <w:sz w:val="32"/>
          <w:szCs w:val="32"/>
        </w:rPr>
        <w:t xml:space="preserve">Purpose</w:t>
      </w:r>
    </w:p>
    <w:p>
      <w:pPr>
        <w:spacing w:after="120"/>
      </w:pPr>
      <w:r>
        <w:rPr>
          <w:rFonts w:ascii="Calibri" w:cs="Calibri" w:eastAsia="Calibri" w:hAnsi="Calibri"/>
          <w:color w:val="1E293B"/>
          <w:sz w:val="22"/>
          <w:szCs w:val="22"/>
        </w:rPr>
        <w:t xml:space="preserve">This blueprint exists for the person building and maintaining ECS Accelerator Packs. It defines what an Accelerator Pack is, how it bridges from ServiceNow's published Success Packs to a customer-ready delivery artifact, what each workstream pack contains, how customers fill them out, how the engagement team validates and imports the data, and how the pack library evolves engagement-over-engagement.</w:t>
      </w:r>
    </w:p>
    <w:p>
      <w:pPr>
        <w:spacing w:after="120"/>
      </w:pPr>
      <w:r>
        <w:rPr>
          <w:rFonts w:ascii="Calibri" w:cs="Calibri" w:eastAsia="Calibri" w:hAnsi="Calibri"/>
          <w:color w:val="1E293B"/>
          <w:sz w:val="22"/>
          <w:szCs w:val="22"/>
        </w:rPr>
        <w:t xml:space="preserve">If this is your first time building a pack, start with Sections 1 and 2 to understand the architecture and per-workstream components, then jump to Sections 3 and 4 for the customer instructions and validation rules. Appendices A and B are your day-to-day working tools.</w:t>
      </w:r>
    </w:p>
    <w:p>
      <w:r>
        <w:br w:type="page"/>
      </w:r>
    </w:p>
    <w:p>
      <w:pPr>
        <w:pStyle w:val="Heading1"/>
        <w:spacing w:after="180" w:before="360"/>
      </w:pPr>
      <w:r>
        <w:rPr>
          <w:rFonts w:ascii="Calibri" w:cs="Calibri" w:eastAsia="Calibri" w:hAnsi="Calibri"/>
          <w:b/>
          <w:bCs/>
          <w:color w:val="0B1F3A"/>
          <w:sz w:val="32"/>
          <w:szCs w:val="32"/>
        </w:rPr>
        <w:t xml:space="preserve">1.  What an Accelerator Pack Is — and Is Not</w:t>
      </w:r>
    </w:p>
    <w:p>
      <w:pPr>
        <w:pStyle w:val="Heading2"/>
        <w:spacing w:after="120" w:before="240"/>
      </w:pPr>
      <w:r>
        <w:rPr>
          <w:rFonts w:ascii="Calibri" w:cs="Calibri" w:eastAsia="Calibri" w:hAnsi="Calibri"/>
          <w:b/>
          <w:bCs/>
          <w:color w:val="0B1F3A"/>
          <w:sz w:val="26"/>
          <w:szCs w:val="26"/>
        </w:rPr>
        <w:t xml:space="preserve">1.1  Definition</w:t>
      </w:r>
    </w:p>
    <w:p>
      <w:pPr>
        <w:spacing w:after="120"/>
      </w:pPr>
      <w:r>
        <w:rPr>
          <w:rFonts w:ascii="Calibri" w:cs="Calibri" w:eastAsia="Calibri" w:hAnsi="Calibri"/>
          <w:color w:val="1E293B"/>
          <w:sz w:val="22"/>
          <w:szCs w:val="22"/>
        </w:rPr>
        <w:t xml:space="preserve">An ECS Accelerator Pack is a structured collection of customer-specific data workbooks, configuration templates, and instruction documents that converts a ServiceNow Success Pack from generic best practice into a Day-1 actionable delivery asset for a specific engagement.</w:t>
      </w:r>
    </w:p>
    <w:p>
      <w:pPr>
        <w:spacing w:after="120"/>
      </w:pPr>
      <w:r>
        <w:rPr>
          <w:rFonts w:ascii="Calibri" w:cs="Calibri" w:eastAsia="Calibri" w:hAnsi="Calibri"/>
          <w:color w:val="1E293B"/>
          <w:sz w:val="22"/>
          <w:szCs w:val="22"/>
        </w:rPr>
        <w:t xml:space="preserve">The Pack does three things:</w:t>
      </w:r>
    </w:p>
    <w:p>
      <w:pPr>
        <w:pStyle w:val="ListParagraph"/>
        <w:numPr>
          <w:ilvl w:val="0"/>
          <w:numId w:val="2"/>
        </w:numPr>
        <w:spacing w:after="60"/>
      </w:pPr>
      <w:r>
        <w:rPr>
          <w:rFonts w:ascii="Calibri" w:cs="Calibri" w:eastAsia="Calibri" w:hAnsi="Calibri"/>
          <w:color w:val="1E293B"/>
          <w:sz w:val="22"/>
          <w:szCs w:val="22"/>
        </w:rPr>
        <w:t xml:space="preserve">Captures every piece of customer-specific data the engagement needs (users, locations, groups, CIs, catalog items, etc.) in a structured workbook format the customer can populate.</w:t>
      </w:r>
    </w:p>
    <w:p>
      <w:pPr>
        <w:pStyle w:val="ListParagraph"/>
        <w:numPr>
          <w:ilvl w:val="0"/>
          <w:numId w:val="2"/>
        </w:numPr>
        <w:spacing w:after="60"/>
      </w:pPr>
      <w:r>
        <w:rPr>
          <w:rFonts w:ascii="Calibri" w:cs="Calibri" w:eastAsia="Calibri" w:hAnsi="Calibri"/>
          <w:color w:val="1E293B"/>
          <w:sz w:val="22"/>
          <w:szCs w:val="22"/>
        </w:rPr>
        <w:t xml:space="preserve">Provides instructions clear enough that a customer SME can complete the workbook without weekly hand-holding from the engagement team.</w:t>
      </w:r>
    </w:p>
    <w:p>
      <w:pPr>
        <w:pStyle w:val="ListParagraph"/>
        <w:numPr>
          <w:ilvl w:val="0"/>
          <w:numId w:val="2"/>
        </w:numPr>
        <w:spacing w:after="60"/>
      </w:pPr>
      <w:r>
        <w:rPr>
          <w:rFonts w:ascii="Calibri" w:cs="Calibri" w:eastAsia="Calibri" w:hAnsi="Calibri"/>
          <w:color w:val="1E293B"/>
          <w:sz w:val="22"/>
          <w:szCs w:val="22"/>
        </w:rPr>
        <w:t xml:space="preserve">Maps directly to ServiceNow import patterns (Import Sets, Transform Maps, Update Sets) so completed workbooks become configuration with minimal manual translation.</w:t>
      </w:r>
    </w:p>
    <w:p>
      <w:pPr>
        <w:pStyle w:val="Heading2"/>
        <w:spacing w:after="120" w:before="240"/>
      </w:pPr>
      <w:r>
        <w:rPr>
          <w:rFonts w:ascii="Calibri" w:cs="Calibri" w:eastAsia="Calibri" w:hAnsi="Calibri"/>
          <w:b/>
          <w:bCs/>
          <w:color w:val="0B1F3A"/>
          <w:sz w:val="26"/>
          <w:szCs w:val="26"/>
        </w:rPr>
        <w:t xml:space="preserve">1.2  The Bridge: Success Packs vs. Accelerator Packs</w:t>
      </w:r>
    </w:p>
    <w:p>
      <w:pPr>
        <w:spacing w:after="120"/>
      </w:pPr>
      <w:r>
        <w:rPr>
          <w:rFonts w:ascii="Calibri" w:cs="Calibri" w:eastAsia="Calibri" w:hAnsi="Calibri"/>
          <w:color w:val="1E293B"/>
          <w:sz w:val="22"/>
          <w:szCs w:val="22"/>
        </w:rPr>
        <w:t xml:space="preserve">ServiceNow publishes Success Packs (ITSM Success Pack, Service Catalog Success Pack, KM Success Pack, etc.) that contain best-practice process flows, sample reports, recommended data models, and OOTB feature guidance. Success Packs are general — they describe how the platform should be used, not how to use it for a specific customer.</w:t>
      </w:r>
    </w:p>
    <w:p>
      <w:pPr>
        <w:spacing w:after="120"/>
      </w:pPr>
      <w:r>
        <w:rPr>
          <w:rFonts w:ascii="Calibri" w:cs="Calibri" w:eastAsia="Calibri" w:hAnsi="Calibri"/>
          <w:color w:val="1E293B"/>
          <w:sz w:val="22"/>
          <w:szCs w:val="22"/>
        </w:rPr>
        <w:t xml:space="preserve">ECS Accelerator Packs are the customer-specific instantiation. They take what the Success Pack recommends and convert it into the actionable inputs a delivery team needs to configure the platform for a particular customer.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20"/>
        <w:gridCol w:w="3780"/>
        <w:gridCol w:w="3960"/>
      </w:tblGrid>
      <w:tr>
        <w:trPr>
          <w:tblHeader/>
        </w:trPr>
        <w:tc>
          <w:tcPr>
            <w:tcBorders>
              <w:top w:val="single" w:color="E2E8F0" w:sz="4"/>
              <w:left w:val="single" w:color="E2E8F0" w:sz="4"/>
              <w:bottom w:val="single" w:color="E2E8F0" w:sz="4"/>
              <w:right w:val="single" w:color="E2E8F0" w:sz="4"/>
            </w:tcBorders>
            <w:shd w:fill="0B1F3A" w:val="clear"/>
            <w:tcMar>
              <w:top w:type="dxa" w:w="120"/>
              <w:left w:type="dxa" w:w="160"/>
              <w:bottom w:type="dxa" w:w="120"/>
              <w:right w:type="dxa" w:w="160"/>
            </w:tcMar>
          </w:tcPr>
          <w:p>
            <w:r>
              <w:rPr>
                <w:rFonts w:ascii="Calibri" w:cs="Calibri" w:eastAsia="Calibri" w:hAnsi="Calibri"/>
                <w:b/>
                <w:bCs/>
                <w:color w:val="FFFFFF"/>
                <w:sz w:val="22"/>
                <w:szCs w:val="22"/>
              </w:rPr>
              <w:t xml:space="preserve">Aspect</w:t>
            </w:r>
          </w:p>
        </w:tc>
        <w:tc>
          <w:tcPr>
            <w:tcBorders>
              <w:top w:val="single" w:color="E2E8F0" w:sz="4"/>
              <w:left w:val="single" w:color="E2E8F0" w:sz="4"/>
              <w:bottom w:val="single" w:color="E2E8F0" w:sz="4"/>
              <w:right w:val="single" w:color="E2E8F0" w:sz="4"/>
            </w:tcBorders>
            <w:shd w:fill="0B1F3A" w:val="clear"/>
            <w:tcMar>
              <w:top w:type="dxa" w:w="120"/>
              <w:left w:type="dxa" w:w="160"/>
              <w:bottom w:type="dxa" w:w="120"/>
              <w:right w:type="dxa" w:w="160"/>
            </w:tcMar>
          </w:tcPr>
          <w:p>
            <w:r>
              <w:rPr>
                <w:rFonts w:ascii="Calibri" w:cs="Calibri" w:eastAsia="Calibri" w:hAnsi="Calibri"/>
                <w:b/>
                <w:bCs/>
                <w:color w:val="FFFFFF"/>
                <w:sz w:val="22"/>
                <w:szCs w:val="22"/>
              </w:rPr>
              <w:t xml:space="preserve">ServiceNow Success Pack</w:t>
            </w:r>
          </w:p>
        </w:tc>
        <w:tc>
          <w:tcPr>
            <w:tcBorders>
              <w:top w:val="single" w:color="E2E8F0" w:sz="4"/>
              <w:left w:val="single" w:color="E2E8F0" w:sz="4"/>
              <w:bottom w:val="single" w:color="E2E8F0" w:sz="4"/>
              <w:right w:val="single" w:color="E2E8F0" w:sz="4"/>
            </w:tcBorders>
            <w:shd w:fill="0B1F3A" w:val="clear"/>
            <w:tcMar>
              <w:top w:type="dxa" w:w="120"/>
              <w:left w:type="dxa" w:w="160"/>
              <w:bottom w:type="dxa" w:w="120"/>
              <w:right w:type="dxa" w:w="160"/>
            </w:tcMar>
          </w:tcPr>
          <w:p>
            <w:r>
              <w:rPr>
                <w:rFonts w:ascii="Calibri" w:cs="Calibri" w:eastAsia="Calibri" w:hAnsi="Calibri"/>
                <w:b/>
                <w:bCs/>
                <w:color w:val="FFFFFF"/>
                <w:sz w:val="22"/>
                <w:szCs w:val="22"/>
              </w:rPr>
              <w:t xml:space="preserve">ECS Accelerator Pack</w:t>
            </w:r>
          </w:p>
        </w:tc>
      </w:tr>
      <w:tr>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Audience</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Generic ServiceNow customer</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Specific engagement team and their customer</w:t>
            </w:r>
          </w:p>
        </w:tc>
      </w:tr>
      <w:tr>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Content type</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Best-practice guidance, process diagrams, OOTB feature explanations</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Customer-specific data workbooks, completed configuration templates, integration design specs</w:t>
            </w:r>
          </w:p>
        </w:tc>
      </w:tr>
      <w:tr>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Format</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Documentation (PDF, HTML, ServiceNow Docs)</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Excel workbooks, JSON/XML config templates, Update Sets, instruction documents</w:t>
            </w:r>
          </w:p>
        </w:tc>
      </w:tr>
      <w:tr>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When used</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Solution design and customer education</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Sprint 0/1 — to populate the new instance with customer foundation data</w:t>
            </w:r>
          </w:p>
        </w:tc>
      </w:tr>
      <w:tr>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Maintained by</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ServiceNow</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ECS Practice (this blueprint)</w:t>
            </w:r>
          </w:p>
        </w:tc>
      </w:tr>
      <w:tr>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Reusability</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Industry-wide</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Customizable per engagement; templates evolve practice-wide</w:t>
            </w:r>
          </w:p>
        </w:tc>
      </w:tr>
    </w:tbl>
    <w:p>
      <w:pPr>
        <w:pStyle w:val="Heading2"/>
        <w:spacing w:after="120" w:before="240"/>
      </w:pPr>
      <w:r>
        <w:rPr>
          <w:rFonts w:ascii="Calibri" w:cs="Calibri" w:eastAsia="Calibri" w:hAnsi="Calibri"/>
          <w:b/>
          <w:bCs/>
          <w:color w:val="0B1F3A"/>
          <w:sz w:val="26"/>
          <w:szCs w:val="26"/>
        </w:rPr>
        <w:t xml:space="preserve">1.3  What an Accelerator Pack is NOT</w:t>
      </w:r>
    </w:p>
    <w:p>
      <w:pPr>
        <w:pStyle w:val="ListParagraph"/>
        <w:numPr>
          <w:ilvl w:val="0"/>
          <w:numId w:val="3"/>
        </w:numPr>
        <w:spacing w:after="60"/>
      </w:pPr>
      <w:r>
        <w:rPr>
          <w:rFonts w:ascii="Calibri" w:cs="Calibri" w:eastAsia="Calibri" w:hAnsi="Calibri"/>
          <w:color w:val="1E293B"/>
          <w:sz w:val="22"/>
          <w:szCs w:val="22"/>
        </w:rPr>
        <w:t xml:space="preserve">It is NOT a substitute for the workshops. The Pack captures data; the workshops decide design intent. Both are required.</w:t>
      </w:r>
    </w:p>
    <w:p>
      <w:pPr>
        <w:pStyle w:val="ListParagraph"/>
        <w:numPr>
          <w:ilvl w:val="0"/>
          <w:numId w:val="3"/>
        </w:numPr>
        <w:spacing w:after="60"/>
      </w:pPr>
      <w:r>
        <w:rPr>
          <w:rFonts w:ascii="Calibri" w:cs="Calibri" w:eastAsia="Calibri" w:hAnsi="Calibri"/>
          <w:color w:val="1E293B"/>
          <w:sz w:val="22"/>
          <w:szCs w:val="22"/>
        </w:rPr>
        <w:t xml:space="preserve">It is NOT a static set of templates. Each engagement's Pack starts from the practice library and gets tailored to the specific customer's scope and integration landscape.</w:t>
      </w:r>
    </w:p>
    <w:p>
      <w:pPr>
        <w:pStyle w:val="ListParagraph"/>
        <w:numPr>
          <w:ilvl w:val="0"/>
          <w:numId w:val="3"/>
        </w:numPr>
        <w:spacing w:after="60"/>
      </w:pPr>
      <w:r>
        <w:rPr>
          <w:rFonts w:ascii="Calibri" w:cs="Calibri" w:eastAsia="Calibri" w:hAnsi="Calibri"/>
          <w:color w:val="1E293B"/>
          <w:sz w:val="22"/>
          <w:szCs w:val="22"/>
        </w:rPr>
        <w:t xml:space="preserve">It is NOT customer-controlled. The Pack belongs to ECS; the customer fills out their portions, but the structure, validation, and import procedures stay in ECS's hands.</w:t>
      </w:r>
    </w:p>
    <w:p>
      <w:pPr>
        <w:pStyle w:val="ListParagraph"/>
        <w:numPr>
          <w:ilvl w:val="0"/>
          <w:numId w:val="3"/>
        </w:numPr>
        <w:spacing w:after="60"/>
      </w:pPr>
      <w:r>
        <w:rPr>
          <w:rFonts w:ascii="Calibri" w:cs="Calibri" w:eastAsia="Calibri" w:hAnsi="Calibri"/>
          <w:color w:val="1E293B"/>
          <w:sz w:val="22"/>
          <w:szCs w:val="22"/>
        </w:rPr>
        <w:t xml:space="preserve">It is NOT a customization of OOTB. The Pack moves customer-specific data into OOTB-aligned structures. If the data doesn't fit OOTB, that's a Governance Board conversation, not a Pack modification.</w:t>
      </w:r>
    </w:p>
    <w:p>
      <w:r>
        <w:br w:type="page"/>
      </w:r>
    </w:p>
    <w:p>
      <w:pPr>
        <w:pStyle w:val="Heading1"/>
        <w:spacing w:after="180" w:before="360"/>
      </w:pPr>
      <w:r>
        <w:rPr>
          <w:rFonts w:ascii="Calibri" w:cs="Calibri" w:eastAsia="Calibri" w:hAnsi="Calibri"/>
          <w:b/>
          <w:bCs/>
          <w:color w:val="0B1F3A"/>
          <w:sz w:val="32"/>
          <w:szCs w:val="32"/>
        </w:rPr>
        <w:t xml:space="preserve">2.  Pack Components by Workstream</w:t>
      </w:r>
    </w:p>
    <w:p>
      <w:pPr>
        <w:spacing w:after="120"/>
      </w:pPr>
      <w:r>
        <w:rPr>
          <w:rFonts w:ascii="Calibri" w:cs="Calibri" w:eastAsia="Calibri" w:hAnsi="Calibri"/>
          <w:color w:val="1E293B"/>
          <w:sz w:val="22"/>
          <w:szCs w:val="22"/>
        </w:rPr>
        <w:t xml:space="preserve">Every Accelerator Pack is assembled from per-workstream components. Below is the full library; an engagement uses the subset matching its scope.</w:t>
      </w:r>
    </w:p>
    <w:p>
      <w:pPr>
        <w:pStyle w:val="Heading2"/>
        <w:spacing w:after="120" w:before="240"/>
      </w:pPr>
      <w:r>
        <w:rPr>
          <w:rFonts w:ascii="Calibri" w:cs="Calibri" w:eastAsia="Calibri" w:hAnsi="Calibri"/>
          <w:b/>
          <w:bCs/>
          <w:color w:val="0B1F3A"/>
          <w:sz w:val="26"/>
          <w:szCs w:val="26"/>
        </w:rPr>
        <w:t xml:space="preserve">2.1  Foundation Data Pack</w:t>
      </w:r>
    </w:p>
    <w:p>
      <w:pPr>
        <w:spacing w:after="120"/>
      </w:pPr>
      <w:r>
        <w:rPr>
          <w:rFonts w:ascii="Calibri" w:cs="Calibri" w:eastAsia="Calibri" w:hAnsi="Calibri"/>
          <w:b/>
          <w:bCs/>
          <w:color w:val="1E293B"/>
          <w:sz w:val="22"/>
          <w:szCs w:val="22"/>
        </w:rPr>
        <w:t xml:space="preserve">Purpose. </w:t>
      </w:r>
      <w:r>
        <w:rPr>
          <w:rFonts w:ascii="Calibri" w:cs="Calibri" w:eastAsia="Calibri" w:hAnsi="Calibri"/>
          <w:color w:val="1E293B"/>
          <w:sz w:val="22"/>
          <w:szCs w:val="22"/>
        </w:rPr>
        <w:t xml:space="preserve">Establish the base population of users, organizations, locations, groups, schedules, and SLAs the platform needs before any process can be configured. Populated by the customer and validated by ECS prior to import.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4320"/>
        <w:gridCol w:w="2520"/>
      </w:tblGrid>
      <w:tr>
        <w:trPr>
          <w:tblHeader/>
        </w:trPr>
        <w:tc>
          <w:tcPr>
            <w:tcBorders>
              <w:top w:val="single" w:color="E2E8F0" w:sz="4"/>
              <w:left w:val="single" w:color="E2E8F0" w:sz="4"/>
              <w:bottom w:val="single" w:color="E2E8F0" w:sz="4"/>
              <w:right w:val="single" w:color="E2E8F0" w:sz="4"/>
            </w:tcBorders>
            <w:shd w:fill="0B1F3A" w:val="clear"/>
            <w:tcMar>
              <w:top w:type="dxa" w:w="120"/>
              <w:left w:type="dxa" w:w="160"/>
              <w:bottom w:type="dxa" w:w="120"/>
              <w:right w:type="dxa" w:w="160"/>
            </w:tcMar>
          </w:tcPr>
          <w:p>
            <w:r>
              <w:rPr>
                <w:rFonts w:ascii="Calibri" w:cs="Calibri" w:eastAsia="Calibri" w:hAnsi="Calibri"/>
                <w:b/>
                <w:bCs/>
                <w:color w:val="FFFFFF"/>
                <w:sz w:val="22"/>
                <w:szCs w:val="22"/>
              </w:rPr>
              <w:t xml:space="preserve">Workbook</w:t>
            </w:r>
          </w:p>
        </w:tc>
        <w:tc>
          <w:tcPr>
            <w:tcBorders>
              <w:top w:val="single" w:color="E2E8F0" w:sz="4"/>
              <w:left w:val="single" w:color="E2E8F0" w:sz="4"/>
              <w:bottom w:val="single" w:color="E2E8F0" w:sz="4"/>
              <w:right w:val="single" w:color="E2E8F0" w:sz="4"/>
            </w:tcBorders>
            <w:shd w:fill="0B1F3A" w:val="clear"/>
            <w:tcMar>
              <w:top w:type="dxa" w:w="120"/>
              <w:left w:type="dxa" w:w="160"/>
              <w:bottom w:type="dxa" w:w="120"/>
              <w:right w:type="dxa" w:w="160"/>
            </w:tcMar>
          </w:tcPr>
          <w:p>
            <w:r>
              <w:rPr>
                <w:rFonts w:ascii="Calibri" w:cs="Calibri" w:eastAsia="Calibri" w:hAnsi="Calibri"/>
                <w:b/>
                <w:bCs/>
                <w:color w:val="FFFFFF"/>
                <w:sz w:val="22"/>
                <w:szCs w:val="22"/>
              </w:rPr>
              <w:t xml:space="preserve">What the Customer Provides</w:t>
            </w:r>
          </w:p>
        </w:tc>
        <w:tc>
          <w:tcPr>
            <w:tcBorders>
              <w:top w:val="single" w:color="E2E8F0" w:sz="4"/>
              <w:left w:val="single" w:color="E2E8F0" w:sz="4"/>
              <w:bottom w:val="single" w:color="E2E8F0" w:sz="4"/>
              <w:right w:val="single" w:color="E2E8F0" w:sz="4"/>
            </w:tcBorders>
            <w:shd w:fill="0B1F3A" w:val="clear"/>
            <w:tcMar>
              <w:top w:type="dxa" w:w="120"/>
              <w:left w:type="dxa" w:w="160"/>
              <w:bottom w:type="dxa" w:w="120"/>
              <w:right w:type="dxa" w:w="160"/>
            </w:tcMar>
          </w:tcPr>
          <w:p>
            <w:r>
              <w:rPr>
                <w:rFonts w:ascii="Calibri" w:cs="Calibri" w:eastAsia="Calibri" w:hAnsi="Calibri"/>
                <w:b/>
                <w:bCs/>
                <w:color w:val="FFFFFF"/>
                <w:sz w:val="22"/>
                <w:szCs w:val="22"/>
              </w:rPr>
              <w:t xml:space="preserve">ServiceNow Target Tables</w:t>
            </w:r>
          </w:p>
        </w:tc>
      </w:tr>
      <w:tr>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sys_user_inventory.xlsx</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User directory: name, email, employee ID, manager, department, location, AD/SSO identifier</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sys_user, sys_user_has_role</w:t>
            </w:r>
          </w:p>
        </w:tc>
      </w:tr>
      <w:tr>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org_hierarchy.xlsx</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Departments, business units, cost centers with parent-child relationships</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cmn_department, business_unit</w:t>
            </w:r>
          </w:p>
        </w:tc>
      </w:tr>
      <w:tr>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locations.xlsx</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Physical and logical locations: site, building, floor, address, time zone</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cmn_location</w:t>
            </w:r>
          </w:p>
        </w:tc>
      </w:tr>
      <w:tr>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groups_and_roles.xlsx</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Assignment groups, fulfillment teams, approval groups; group membership; group manager</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sys_user_group, sys_user_grmember</w:t>
            </w:r>
          </w:p>
        </w:tc>
      </w:tr>
      <w:tr>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assignment_rules.xlsx</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Routing logic: which groups get what work, by category/CI/location</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sysrule_assignment, escalation_set</w:t>
            </w:r>
          </w:p>
        </w:tc>
      </w:tr>
      <w:tr>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schedules.xlsx</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Business hours, on-call schedules, holiday calendars by location</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cmn_schedule, cmn_other_schedule</w:t>
            </w:r>
          </w:p>
        </w:tc>
      </w:tr>
      <w:tr>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slas.xlsx</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SLA definitions, response/resolution targets by priority, business hours apply (Y/N)</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contract_sla</w:t>
            </w:r>
          </w:p>
        </w:tc>
      </w:tr>
    </w:tbl>
    <w:p>
      <w:pPr>
        <w:spacing w:after="120"/>
      </w:pPr>
      <w:r>
        <w:rPr>
          <w:rFonts w:ascii="Calibri" w:cs="Calibri" w:eastAsia="Calibri" w:hAnsi="Calibri"/>
          <w:b/>
          <w:bCs/>
          <w:color w:val="1E293B"/>
          <w:sz w:val="22"/>
          <w:szCs w:val="22"/>
        </w:rPr>
        <w:t xml:space="preserve">Build notes. </w:t>
      </w:r>
      <w:r>
        <w:rPr>
          <w:rFonts w:ascii="Calibri" w:cs="Calibri" w:eastAsia="Calibri" w:hAnsi="Calibri"/>
          <w:color w:val="1E293B"/>
          <w:sz w:val="22"/>
          <w:szCs w:val="22"/>
        </w:rPr>
        <w:t xml:space="preserve">Foundation Data is the first pack delivered (typically in Sprint 0 prep, ~2 weeks before kickoff). Customer data quality here determines downstream delivery velocity. Validation gates (Section 4) are strict for this pack.</w:t>
      </w:r>
    </w:p>
    <w:p>
      <w:pPr>
        <w:pStyle w:val="Heading2"/>
        <w:spacing w:after="120" w:before="240"/>
      </w:pPr>
      <w:r>
        <w:rPr>
          <w:rFonts w:ascii="Calibri" w:cs="Calibri" w:eastAsia="Calibri" w:hAnsi="Calibri"/>
          <w:b/>
          <w:bCs/>
          <w:color w:val="0B1F3A"/>
          <w:sz w:val="26"/>
          <w:szCs w:val="26"/>
        </w:rPr>
        <w:t xml:space="preserve">2.2  CMDB / CSDM Pack</w:t>
      </w:r>
    </w:p>
    <w:p>
      <w:pPr>
        <w:spacing w:after="120"/>
      </w:pPr>
      <w:r>
        <w:rPr>
          <w:rFonts w:ascii="Calibri" w:cs="Calibri" w:eastAsia="Calibri" w:hAnsi="Calibri"/>
          <w:b/>
          <w:bCs/>
          <w:color w:val="1E293B"/>
          <w:sz w:val="22"/>
          <w:szCs w:val="22"/>
        </w:rPr>
        <w:t xml:space="preserve">Purpose. </w:t>
      </w:r>
      <w:r>
        <w:rPr>
          <w:rFonts w:ascii="Calibri" w:cs="Calibri" w:eastAsia="Calibri" w:hAnsi="Calibri"/>
          <w:color w:val="1E293B"/>
          <w:sz w:val="22"/>
          <w:szCs w:val="22"/>
        </w:rPr>
        <w:t xml:space="preserve">Capture customer-specific Service taxonomy and CI relationships in a CSDM 5.0-compliant structure. Pre-populates Business Services, Technical Services, Application Services, and the standard CMDB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4320"/>
        <w:gridCol w:w="2520"/>
      </w:tblGrid>
      <w:tr>
        <w:trPr>
          <w:tblHeader/>
        </w:trPr>
        <w:tc>
          <w:tcPr>
            <w:tcBorders>
              <w:top w:val="single" w:color="E2E8F0" w:sz="4"/>
              <w:left w:val="single" w:color="E2E8F0" w:sz="4"/>
              <w:bottom w:val="single" w:color="E2E8F0" w:sz="4"/>
              <w:right w:val="single" w:color="E2E8F0" w:sz="4"/>
            </w:tcBorders>
            <w:shd w:fill="0B1F3A" w:val="clear"/>
            <w:tcMar>
              <w:top w:type="dxa" w:w="120"/>
              <w:left w:type="dxa" w:w="160"/>
              <w:bottom w:type="dxa" w:w="120"/>
              <w:right w:type="dxa" w:w="160"/>
            </w:tcMar>
          </w:tcPr>
          <w:p>
            <w:r>
              <w:rPr>
                <w:rFonts w:ascii="Calibri" w:cs="Calibri" w:eastAsia="Calibri" w:hAnsi="Calibri"/>
                <w:b/>
                <w:bCs/>
                <w:color w:val="FFFFFF"/>
                <w:sz w:val="22"/>
                <w:szCs w:val="22"/>
              </w:rPr>
              <w:t xml:space="preserve">Workbook</w:t>
            </w:r>
          </w:p>
        </w:tc>
        <w:tc>
          <w:tcPr>
            <w:tcBorders>
              <w:top w:val="single" w:color="E2E8F0" w:sz="4"/>
              <w:left w:val="single" w:color="E2E8F0" w:sz="4"/>
              <w:bottom w:val="single" w:color="E2E8F0" w:sz="4"/>
              <w:right w:val="single" w:color="E2E8F0" w:sz="4"/>
            </w:tcBorders>
            <w:shd w:fill="0B1F3A" w:val="clear"/>
            <w:tcMar>
              <w:top w:type="dxa" w:w="120"/>
              <w:left w:type="dxa" w:w="160"/>
              <w:bottom w:type="dxa" w:w="120"/>
              <w:right w:type="dxa" w:w="160"/>
            </w:tcMar>
          </w:tcPr>
          <w:p>
            <w:r>
              <w:rPr>
                <w:rFonts w:ascii="Calibri" w:cs="Calibri" w:eastAsia="Calibri" w:hAnsi="Calibri"/>
                <w:b/>
                <w:bCs/>
                <w:color w:val="FFFFFF"/>
                <w:sz w:val="22"/>
                <w:szCs w:val="22"/>
              </w:rPr>
              <w:t xml:space="preserve">What the Customer Provides</w:t>
            </w:r>
          </w:p>
        </w:tc>
        <w:tc>
          <w:tcPr>
            <w:tcBorders>
              <w:top w:val="single" w:color="E2E8F0" w:sz="4"/>
              <w:left w:val="single" w:color="E2E8F0" w:sz="4"/>
              <w:bottom w:val="single" w:color="E2E8F0" w:sz="4"/>
              <w:right w:val="single" w:color="E2E8F0" w:sz="4"/>
            </w:tcBorders>
            <w:shd w:fill="0B1F3A" w:val="clear"/>
            <w:tcMar>
              <w:top w:type="dxa" w:w="120"/>
              <w:left w:type="dxa" w:w="160"/>
              <w:bottom w:type="dxa" w:w="120"/>
              <w:right w:type="dxa" w:w="160"/>
            </w:tcMar>
          </w:tcPr>
          <w:p>
            <w:r>
              <w:rPr>
                <w:rFonts w:ascii="Calibri" w:cs="Calibri" w:eastAsia="Calibri" w:hAnsi="Calibri"/>
                <w:b/>
                <w:bCs/>
                <w:color w:val="FFFFFF"/>
                <w:sz w:val="22"/>
                <w:szCs w:val="22"/>
              </w:rPr>
              <w:t xml:space="preserve">ServiceNow Target Tables</w:t>
            </w:r>
          </w:p>
        </w:tc>
      </w:tr>
      <w:tr>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business_services.xlsx</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Customer-facing services with owners, criticality, hours of availability</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cmdb_ci_service_business</w:t>
            </w:r>
          </w:p>
        </w:tc>
      </w:tr>
      <w:tr>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technical_services.xlsx</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Technical services that support business services; owner; supporting CI types</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cmdb_ci_service_technical</w:t>
            </w:r>
          </w:p>
        </w:tc>
      </w:tr>
      <w:tr>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application_services.xlsx</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Application stack instances; supporting infrastructure; environment (prod/dev/test)</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cmdb_ci_service_app</w:t>
            </w:r>
          </w:p>
        </w:tc>
      </w:tr>
      <w:tr>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service_relationships.xlsx</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How services relate (depends-on, supports, hosts, runs-on)</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cmdb_rel_ci</w:t>
            </w:r>
          </w:p>
        </w:tc>
      </w:tr>
      <w:tr>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foundation_cis.xlsx</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Bootstrap CIs for known infrastructure: data centers, key apps, critical hardware</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cmdb_ci, cmdb_ci_appl</w:t>
            </w:r>
          </w:p>
        </w:tc>
      </w:tr>
      <w:tr>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csdm_domain_ownership.xlsx</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Owner per CSDM domain: Foundation, Design, Build, Manage, Sell/Consume</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cmdb_metadata</w:t>
            </w:r>
          </w:p>
        </w:tc>
      </w:tr>
    </w:tbl>
    <w:p>
      <w:pPr>
        <w:spacing w:after="120"/>
      </w:pPr>
      <w:r>
        <w:rPr>
          <w:rFonts w:ascii="Calibri" w:cs="Calibri" w:eastAsia="Calibri" w:hAnsi="Calibri"/>
          <w:b/>
          <w:bCs/>
          <w:color w:val="1E293B"/>
          <w:sz w:val="22"/>
          <w:szCs w:val="22"/>
        </w:rPr>
        <w:t xml:space="preserve">Build notes. </w:t>
      </w:r>
      <w:r>
        <w:rPr>
          <w:rFonts w:ascii="Calibri" w:cs="Calibri" w:eastAsia="Calibri" w:hAnsi="Calibri"/>
          <w:color w:val="1E293B"/>
          <w:sz w:val="22"/>
          <w:szCs w:val="22"/>
        </w:rPr>
        <w:t xml:space="preserve">CSDM Pack is populated through the CSDM workshop, not as homework. The workbook is the captured workshop output. Use the CSDM 5.0 Reference Model from the practice library as the starting structure.</w:t>
      </w:r>
    </w:p>
    <w:p>
      <w:r>
        <w:br w:type="page"/>
      </w:r>
    </w:p>
    <w:p>
      <w:pPr>
        <w:pStyle w:val="Heading2"/>
        <w:spacing w:after="120" w:before="240"/>
      </w:pPr>
      <w:r>
        <w:rPr>
          <w:rFonts w:ascii="Calibri" w:cs="Calibri" w:eastAsia="Calibri" w:hAnsi="Calibri"/>
          <w:b/>
          <w:bCs/>
          <w:color w:val="0B1F3A"/>
          <w:sz w:val="26"/>
          <w:szCs w:val="26"/>
        </w:rPr>
        <w:t xml:space="preserve">2.3  Service Catalog Pack</w:t>
      </w:r>
    </w:p>
    <w:p>
      <w:pPr>
        <w:spacing w:after="120"/>
      </w:pPr>
      <w:r>
        <w:rPr>
          <w:rFonts w:ascii="Calibri" w:cs="Calibri" w:eastAsia="Calibri" w:hAnsi="Calibri"/>
          <w:b/>
          <w:bCs/>
          <w:color w:val="1E293B"/>
          <w:sz w:val="22"/>
          <w:szCs w:val="22"/>
        </w:rPr>
        <w:t xml:space="preserve">Purpose. </w:t>
      </w:r>
      <w:r>
        <w:rPr>
          <w:rFonts w:ascii="Calibri" w:cs="Calibri" w:eastAsia="Calibri" w:hAnsi="Calibri"/>
          <w:color w:val="1E293B"/>
          <w:sz w:val="22"/>
          <w:szCs w:val="22"/>
        </w:rPr>
        <w:t xml:space="preserve">Capture the customer's catalog item inventory with enough detail to build OOTB-aligned record producers, variables, workflows, and approvals. Includes the Phase 1 Top-15 selection plus the 2–3 generic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4320"/>
        <w:gridCol w:w="2520"/>
      </w:tblGrid>
      <w:tr>
        <w:trPr>
          <w:tblHeader/>
        </w:trPr>
        <w:tc>
          <w:tcPr>
            <w:tcBorders>
              <w:top w:val="single" w:color="E2E8F0" w:sz="4"/>
              <w:left w:val="single" w:color="E2E8F0" w:sz="4"/>
              <w:bottom w:val="single" w:color="E2E8F0" w:sz="4"/>
              <w:right w:val="single" w:color="E2E8F0" w:sz="4"/>
            </w:tcBorders>
            <w:shd w:fill="0B1F3A" w:val="clear"/>
            <w:tcMar>
              <w:top w:type="dxa" w:w="120"/>
              <w:left w:type="dxa" w:w="160"/>
              <w:bottom w:type="dxa" w:w="120"/>
              <w:right w:type="dxa" w:w="160"/>
            </w:tcMar>
          </w:tcPr>
          <w:p>
            <w:r>
              <w:rPr>
                <w:rFonts w:ascii="Calibri" w:cs="Calibri" w:eastAsia="Calibri" w:hAnsi="Calibri"/>
                <w:b/>
                <w:bCs/>
                <w:color w:val="FFFFFF"/>
                <w:sz w:val="22"/>
                <w:szCs w:val="22"/>
              </w:rPr>
              <w:t xml:space="preserve">Workbook</w:t>
            </w:r>
          </w:p>
        </w:tc>
        <w:tc>
          <w:tcPr>
            <w:tcBorders>
              <w:top w:val="single" w:color="E2E8F0" w:sz="4"/>
              <w:left w:val="single" w:color="E2E8F0" w:sz="4"/>
              <w:bottom w:val="single" w:color="E2E8F0" w:sz="4"/>
              <w:right w:val="single" w:color="E2E8F0" w:sz="4"/>
            </w:tcBorders>
            <w:shd w:fill="0B1F3A" w:val="clear"/>
            <w:tcMar>
              <w:top w:type="dxa" w:w="120"/>
              <w:left w:type="dxa" w:w="160"/>
              <w:bottom w:type="dxa" w:w="120"/>
              <w:right w:type="dxa" w:w="160"/>
            </w:tcMar>
          </w:tcPr>
          <w:p>
            <w:r>
              <w:rPr>
                <w:rFonts w:ascii="Calibri" w:cs="Calibri" w:eastAsia="Calibri" w:hAnsi="Calibri"/>
                <w:b/>
                <w:bCs/>
                <w:color w:val="FFFFFF"/>
                <w:sz w:val="22"/>
                <w:szCs w:val="22"/>
              </w:rPr>
              <w:t xml:space="preserve">What the Customer Provides</w:t>
            </w:r>
          </w:p>
        </w:tc>
        <w:tc>
          <w:tcPr>
            <w:tcBorders>
              <w:top w:val="single" w:color="E2E8F0" w:sz="4"/>
              <w:left w:val="single" w:color="E2E8F0" w:sz="4"/>
              <w:bottom w:val="single" w:color="E2E8F0" w:sz="4"/>
              <w:right w:val="single" w:color="E2E8F0" w:sz="4"/>
            </w:tcBorders>
            <w:shd w:fill="0B1F3A" w:val="clear"/>
            <w:tcMar>
              <w:top w:type="dxa" w:w="120"/>
              <w:left w:type="dxa" w:w="160"/>
              <w:bottom w:type="dxa" w:w="120"/>
              <w:right w:type="dxa" w:w="160"/>
            </w:tcMar>
          </w:tcPr>
          <w:p>
            <w:r>
              <w:rPr>
                <w:rFonts w:ascii="Calibri" w:cs="Calibri" w:eastAsia="Calibri" w:hAnsi="Calibri"/>
                <w:b/>
                <w:bCs/>
                <w:color w:val="FFFFFF"/>
                <w:sz w:val="22"/>
                <w:szCs w:val="22"/>
              </w:rPr>
              <w:t xml:space="preserve">ServiceNow Target Tables</w:t>
            </w:r>
          </w:p>
        </w:tc>
      </w:tr>
      <w:tr>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catalog_inventory.xlsx</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All current catalog items with usage volume, owner, category — used to identify the Phase 1 most-impactful list</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(reference only — not imported)</w:t>
            </w:r>
          </w:p>
        </w:tc>
      </w:tr>
      <w:tr>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catalog_items.xlsx</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Phase 1 catalog items: name, short description, category, fulfillment group, SLA, requires approval (Y/N)</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sc_cat_item</w:t>
            </w:r>
          </w:p>
        </w:tc>
      </w:tr>
      <w:tr>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catalog_variables.xlsx</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Per-item variables: name, type, default, mandatory (Y/N), reference table, conditional logic</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item_option_new</w:t>
            </w:r>
          </w:p>
        </w:tc>
      </w:tr>
      <w:tr>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catalog_workflows.xlsx</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Fulfillment workflow per item: tasks, sequence, assignment, hold conditions, conditional branches</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wf_workflow (or Flow Designer flow)</w:t>
            </w:r>
          </w:p>
        </w:tc>
      </w:tr>
      <w:tr>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catalog_approvals.xlsx</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Per-item approval definitions: approver type (manager, group, named user), conditional triggers, escalation</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sysapproval_approver, sysapproval_group</w:t>
            </w:r>
          </w:p>
        </w:tc>
      </w:tr>
      <w:tr>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generic_catalog_items.xlsx</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The 2–3 generic items: scope, intake variables, fulfillment routing for unmatched requests</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sc_cat_item (with variable_set)</w:t>
            </w:r>
          </w:p>
        </w:tc>
      </w:tr>
    </w:tbl>
    <w:p>
      <w:pPr>
        <w:pStyle w:val="Heading2"/>
        <w:spacing w:after="120" w:before="240"/>
      </w:pPr>
      <w:r>
        <w:rPr>
          <w:rFonts w:ascii="Calibri" w:cs="Calibri" w:eastAsia="Calibri" w:hAnsi="Calibri"/>
          <w:b/>
          <w:bCs/>
          <w:color w:val="0B1F3A"/>
          <w:sz w:val="26"/>
          <w:szCs w:val="26"/>
        </w:rPr>
        <w:t xml:space="preserve">2.4  Knowledge Management Pack</w:t>
      </w:r>
    </w:p>
    <w:p>
      <w:pPr>
        <w:spacing w:after="120"/>
      </w:pPr>
      <w:r>
        <w:rPr>
          <w:rFonts w:ascii="Calibri" w:cs="Calibri" w:eastAsia="Calibri" w:hAnsi="Calibri"/>
          <w:b/>
          <w:bCs/>
          <w:color w:val="1E293B"/>
          <w:sz w:val="22"/>
          <w:szCs w:val="22"/>
        </w:rPr>
        <w:t xml:space="preserve">Purpose. </w:t>
      </w:r>
      <w:r>
        <w:rPr>
          <w:rFonts w:ascii="Calibri" w:cs="Calibri" w:eastAsia="Calibri" w:hAnsi="Calibri"/>
          <w:color w:val="1E293B"/>
          <w:sz w:val="22"/>
          <w:szCs w:val="22"/>
        </w:rPr>
        <w:t xml:space="preserve">Curate and migrate the customer's knowledge base, retiring stale articles and normalizing the rest for AI Search and Virtual Agent compatibility.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4320"/>
        <w:gridCol w:w="2520"/>
      </w:tblGrid>
      <w:tr>
        <w:trPr>
          <w:tblHeader/>
        </w:trPr>
        <w:tc>
          <w:tcPr>
            <w:tcBorders>
              <w:top w:val="single" w:color="E2E8F0" w:sz="4"/>
              <w:left w:val="single" w:color="E2E8F0" w:sz="4"/>
              <w:bottom w:val="single" w:color="E2E8F0" w:sz="4"/>
              <w:right w:val="single" w:color="E2E8F0" w:sz="4"/>
            </w:tcBorders>
            <w:shd w:fill="0B1F3A" w:val="clear"/>
            <w:tcMar>
              <w:top w:type="dxa" w:w="120"/>
              <w:left w:type="dxa" w:w="160"/>
              <w:bottom w:type="dxa" w:w="120"/>
              <w:right w:type="dxa" w:w="160"/>
            </w:tcMar>
          </w:tcPr>
          <w:p>
            <w:r>
              <w:rPr>
                <w:rFonts w:ascii="Calibri" w:cs="Calibri" w:eastAsia="Calibri" w:hAnsi="Calibri"/>
                <w:b/>
                <w:bCs/>
                <w:color w:val="FFFFFF"/>
                <w:sz w:val="22"/>
                <w:szCs w:val="22"/>
              </w:rPr>
              <w:t xml:space="preserve">Workbook</w:t>
            </w:r>
          </w:p>
        </w:tc>
        <w:tc>
          <w:tcPr>
            <w:tcBorders>
              <w:top w:val="single" w:color="E2E8F0" w:sz="4"/>
              <w:left w:val="single" w:color="E2E8F0" w:sz="4"/>
              <w:bottom w:val="single" w:color="E2E8F0" w:sz="4"/>
              <w:right w:val="single" w:color="E2E8F0" w:sz="4"/>
            </w:tcBorders>
            <w:shd w:fill="0B1F3A" w:val="clear"/>
            <w:tcMar>
              <w:top w:type="dxa" w:w="120"/>
              <w:left w:type="dxa" w:w="160"/>
              <w:bottom w:type="dxa" w:w="120"/>
              <w:right w:type="dxa" w:w="160"/>
            </w:tcMar>
          </w:tcPr>
          <w:p>
            <w:r>
              <w:rPr>
                <w:rFonts w:ascii="Calibri" w:cs="Calibri" w:eastAsia="Calibri" w:hAnsi="Calibri"/>
                <w:b/>
                <w:bCs/>
                <w:color w:val="FFFFFF"/>
                <w:sz w:val="22"/>
                <w:szCs w:val="22"/>
              </w:rPr>
              <w:t xml:space="preserve">What the Customer Provides</w:t>
            </w:r>
          </w:p>
        </w:tc>
        <w:tc>
          <w:tcPr>
            <w:tcBorders>
              <w:top w:val="single" w:color="E2E8F0" w:sz="4"/>
              <w:left w:val="single" w:color="E2E8F0" w:sz="4"/>
              <w:bottom w:val="single" w:color="E2E8F0" w:sz="4"/>
              <w:right w:val="single" w:color="E2E8F0" w:sz="4"/>
            </w:tcBorders>
            <w:shd w:fill="0B1F3A" w:val="clear"/>
            <w:tcMar>
              <w:top w:type="dxa" w:w="120"/>
              <w:left w:type="dxa" w:w="160"/>
              <w:bottom w:type="dxa" w:w="120"/>
              <w:right w:type="dxa" w:w="160"/>
            </w:tcMar>
          </w:tcPr>
          <w:p>
            <w:r>
              <w:rPr>
                <w:rFonts w:ascii="Calibri" w:cs="Calibri" w:eastAsia="Calibri" w:hAnsi="Calibri"/>
                <w:b/>
                <w:bCs/>
                <w:color w:val="FFFFFF"/>
                <w:sz w:val="22"/>
                <w:szCs w:val="22"/>
              </w:rPr>
              <w:t xml:space="preserve">ServiceNow Target Tables</w:t>
            </w:r>
          </w:p>
        </w:tc>
      </w:tr>
      <w:tr>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km_inventory.xlsx</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All current articles: title, ID, category, last-updated date, view count, retire (Y/N)</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(reference for curation decisions)</w:t>
            </w:r>
          </w:p>
        </w:tc>
      </w:tr>
      <w:tr>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km_to_port.xlsx</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Articles to migrate: title, body, category, audience, owner, published-on</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kb_knowledge</w:t>
            </w:r>
          </w:p>
        </w:tc>
      </w:tr>
      <w:tr>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km_categories.xlsx</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KB structure: top-level categories, sub-categories, audience scoping</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kb_category</w:t>
            </w:r>
          </w:p>
        </w:tc>
      </w:tr>
      <w:tr>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km_audiences.xlsx</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User criteria for article visibility (employee groups, locations, roles)</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kb_uc_can_read_mtom</w:t>
            </w:r>
          </w:p>
        </w:tc>
      </w:tr>
      <w:tr>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va_topic_seeds.xlsx</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Initial Virtual Agent topic blocks, mapped to KM article IDs and intent phrases</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(referenced by VA Designer)</w:t>
            </w:r>
          </w:p>
        </w:tc>
      </w:tr>
    </w:tbl>
    <w:p>
      <w:pPr>
        <w:pStyle w:val="Heading2"/>
        <w:spacing w:after="120" w:before="240"/>
      </w:pPr>
      <w:r>
        <w:rPr>
          <w:rFonts w:ascii="Calibri" w:cs="Calibri" w:eastAsia="Calibri" w:hAnsi="Calibri"/>
          <w:b/>
          <w:bCs/>
          <w:color w:val="0B1F3A"/>
          <w:sz w:val="26"/>
          <w:szCs w:val="26"/>
        </w:rPr>
        <w:t xml:space="preserve">2.5  Discovery and Service Graph Connectors Pack</w:t>
      </w:r>
    </w:p>
    <w:p>
      <w:pPr>
        <w:spacing w:after="120"/>
      </w:pPr>
      <w:r>
        <w:rPr>
          <w:rFonts w:ascii="Calibri" w:cs="Calibri" w:eastAsia="Calibri" w:hAnsi="Calibri"/>
          <w:b/>
          <w:bCs/>
          <w:color w:val="1E293B"/>
          <w:sz w:val="22"/>
          <w:szCs w:val="22"/>
        </w:rPr>
        <w:t xml:space="preserve">Purpose. </w:t>
      </w:r>
      <w:r>
        <w:rPr>
          <w:rFonts w:ascii="Calibri" w:cs="Calibri" w:eastAsia="Calibri" w:hAnsi="Calibri"/>
          <w:color w:val="1E293B"/>
          <w:sz w:val="22"/>
          <w:szCs w:val="22"/>
        </w:rPr>
        <w:t xml:space="preserve">Configure Discovery and the SCCM/Intune Service Graph Connectors with customer-specific credentials, schedules, and normalization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4320"/>
        <w:gridCol w:w="2520"/>
      </w:tblGrid>
      <w:tr>
        <w:trPr>
          <w:tblHeader/>
        </w:trPr>
        <w:tc>
          <w:tcPr>
            <w:tcBorders>
              <w:top w:val="single" w:color="E2E8F0" w:sz="4"/>
              <w:left w:val="single" w:color="E2E8F0" w:sz="4"/>
              <w:bottom w:val="single" w:color="E2E8F0" w:sz="4"/>
              <w:right w:val="single" w:color="E2E8F0" w:sz="4"/>
            </w:tcBorders>
            <w:shd w:fill="0B1F3A" w:val="clear"/>
            <w:tcMar>
              <w:top w:type="dxa" w:w="120"/>
              <w:left w:type="dxa" w:w="160"/>
              <w:bottom w:type="dxa" w:w="120"/>
              <w:right w:type="dxa" w:w="160"/>
            </w:tcMar>
          </w:tcPr>
          <w:p>
            <w:r>
              <w:rPr>
                <w:rFonts w:ascii="Calibri" w:cs="Calibri" w:eastAsia="Calibri" w:hAnsi="Calibri"/>
                <w:b/>
                <w:bCs/>
                <w:color w:val="FFFFFF"/>
                <w:sz w:val="22"/>
                <w:szCs w:val="22"/>
              </w:rPr>
              <w:t xml:space="preserve">Workbook</w:t>
            </w:r>
          </w:p>
        </w:tc>
        <w:tc>
          <w:tcPr>
            <w:tcBorders>
              <w:top w:val="single" w:color="E2E8F0" w:sz="4"/>
              <w:left w:val="single" w:color="E2E8F0" w:sz="4"/>
              <w:bottom w:val="single" w:color="E2E8F0" w:sz="4"/>
              <w:right w:val="single" w:color="E2E8F0" w:sz="4"/>
            </w:tcBorders>
            <w:shd w:fill="0B1F3A" w:val="clear"/>
            <w:tcMar>
              <w:top w:type="dxa" w:w="120"/>
              <w:left w:type="dxa" w:w="160"/>
              <w:bottom w:type="dxa" w:w="120"/>
              <w:right w:type="dxa" w:w="160"/>
            </w:tcMar>
          </w:tcPr>
          <w:p>
            <w:r>
              <w:rPr>
                <w:rFonts w:ascii="Calibri" w:cs="Calibri" w:eastAsia="Calibri" w:hAnsi="Calibri"/>
                <w:b/>
                <w:bCs/>
                <w:color w:val="FFFFFF"/>
                <w:sz w:val="22"/>
                <w:szCs w:val="22"/>
              </w:rPr>
              <w:t xml:space="preserve">What the Customer Provides</w:t>
            </w:r>
          </w:p>
        </w:tc>
        <w:tc>
          <w:tcPr>
            <w:tcBorders>
              <w:top w:val="single" w:color="E2E8F0" w:sz="4"/>
              <w:left w:val="single" w:color="E2E8F0" w:sz="4"/>
              <w:bottom w:val="single" w:color="E2E8F0" w:sz="4"/>
              <w:right w:val="single" w:color="E2E8F0" w:sz="4"/>
            </w:tcBorders>
            <w:shd w:fill="0B1F3A" w:val="clear"/>
            <w:tcMar>
              <w:top w:type="dxa" w:w="120"/>
              <w:left w:type="dxa" w:w="160"/>
              <w:bottom w:type="dxa" w:w="120"/>
              <w:right w:type="dxa" w:w="160"/>
            </w:tcMar>
          </w:tcPr>
          <w:p>
            <w:r>
              <w:rPr>
                <w:rFonts w:ascii="Calibri" w:cs="Calibri" w:eastAsia="Calibri" w:hAnsi="Calibri"/>
                <w:b/>
                <w:bCs/>
                <w:color w:val="FFFFFF"/>
                <w:sz w:val="22"/>
                <w:szCs w:val="22"/>
              </w:rPr>
              <w:t xml:space="preserve">ServiceNow Target Tables</w:t>
            </w:r>
          </w:p>
        </w:tc>
      </w:tr>
      <w:tr>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discovery_credentials.xlsx</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Credential names, types (SSH, WinRM, SNMP, vCenter), associated MID server, IP scopes</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discovery_credentials</w:t>
            </w:r>
          </w:p>
        </w:tc>
      </w:tr>
      <w:tr>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mid_server_config.xlsx</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MID server names, network locations, capabilities, firewall openings required</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ecc_agent</w:t>
            </w:r>
          </w:p>
        </w:tc>
      </w:tr>
      <w:tr>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discovery_schedules.xlsx</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Discovery schedule names, IP ranges, frequency, scope (servers, network, storage, etc.)</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discovery_schedule</w:t>
            </w:r>
          </w:p>
        </w:tc>
      </w:tr>
      <w:tr>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sgc_sccm_config.xlsx</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SCCM connection: server, database, query schedule, normalization rules, CI class mapping</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sa_sgc_microsoft_sccm</w:t>
            </w:r>
          </w:p>
        </w:tc>
      </w:tr>
      <w:tr>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sgc_intune_config.xlsx</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Intune connection: tenant ID, app registration, sync schedule, device-class mapping</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sa_sgc_microsoft_intune</w:t>
            </w:r>
          </w:p>
        </w:tc>
      </w:tr>
      <w:tr>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normalization_rules.xlsx</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CI normalization rules: model name patterns, manufacturer aliases, OS version normalization</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cmdb_ci_normalization_rule</w:t>
            </w:r>
          </w:p>
        </w:tc>
      </w:tr>
    </w:tbl>
    <w:p>
      <w:r>
        <w:br w:type="page"/>
      </w:r>
    </w:p>
    <w:p>
      <w:pPr>
        <w:pStyle w:val="Heading2"/>
        <w:spacing w:after="120" w:before="240"/>
      </w:pPr>
      <w:r>
        <w:rPr>
          <w:rFonts w:ascii="Calibri" w:cs="Calibri" w:eastAsia="Calibri" w:hAnsi="Calibri"/>
          <w:b/>
          <w:bCs/>
          <w:color w:val="0B1F3A"/>
          <w:sz w:val="26"/>
          <w:szCs w:val="26"/>
        </w:rPr>
        <w:t xml:space="preserve">2.6  Integrations Pack (AD/SSO and IntegrationHub)</w:t>
      </w:r>
    </w:p>
    <w:p>
      <w:pPr>
        <w:spacing w:after="120"/>
      </w:pPr>
      <w:r>
        <w:rPr>
          <w:rFonts w:ascii="Calibri" w:cs="Calibri" w:eastAsia="Calibri" w:hAnsi="Calibri"/>
          <w:b/>
          <w:bCs/>
          <w:color w:val="1E293B"/>
          <w:sz w:val="22"/>
          <w:szCs w:val="22"/>
        </w:rPr>
        <w:t xml:space="preserve">Purpose. </w:t>
      </w:r>
      <w:r>
        <w:rPr>
          <w:rFonts w:ascii="Calibri" w:cs="Calibri" w:eastAsia="Calibri" w:hAnsi="Calibri"/>
          <w:color w:val="1E293B"/>
          <w:sz w:val="22"/>
          <w:szCs w:val="22"/>
        </w:rPr>
        <w:t xml:space="preserve">Configure foundational integrations (AD/Entra ID, SSO) and any in-scope IntegrationHub Spokes with customer-specific credentials and design specs.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4320"/>
        <w:gridCol w:w="2520"/>
      </w:tblGrid>
      <w:tr>
        <w:trPr>
          <w:tblHeader/>
        </w:trPr>
        <w:tc>
          <w:tcPr>
            <w:tcBorders>
              <w:top w:val="single" w:color="E2E8F0" w:sz="4"/>
              <w:left w:val="single" w:color="E2E8F0" w:sz="4"/>
              <w:bottom w:val="single" w:color="E2E8F0" w:sz="4"/>
              <w:right w:val="single" w:color="E2E8F0" w:sz="4"/>
            </w:tcBorders>
            <w:shd w:fill="0B1F3A" w:val="clear"/>
            <w:tcMar>
              <w:top w:type="dxa" w:w="120"/>
              <w:left w:type="dxa" w:w="160"/>
              <w:bottom w:type="dxa" w:w="120"/>
              <w:right w:type="dxa" w:w="160"/>
            </w:tcMar>
          </w:tcPr>
          <w:p>
            <w:r>
              <w:rPr>
                <w:rFonts w:ascii="Calibri" w:cs="Calibri" w:eastAsia="Calibri" w:hAnsi="Calibri"/>
                <w:b/>
                <w:bCs/>
                <w:color w:val="FFFFFF"/>
                <w:sz w:val="22"/>
                <w:szCs w:val="22"/>
              </w:rPr>
              <w:t xml:space="preserve">Workbook</w:t>
            </w:r>
          </w:p>
        </w:tc>
        <w:tc>
          <w:tcPr>
            <w:tcBorders>
              <w:top w:val="single" w:color="E2E8F0" w:sz="4"/>
              <w:left w:val="single" w:color="E2E8F0" w:sz="4"/>
              <w:bottom w:val="single" w:color="E2E8F0" w:sz="4"/>
              <w:right w:val="single" w:color="E2E8F0" w:sz="4"/>
            </w:tcBorders>
            <w:shd w:fill="0B1F3A" w:val="clear"/>
            <w:tcMar>
              <w:top w:type="dxa" w:w="120"/>
              <w:left w:type="dxa" w:w="160"/>
              <w:bottom w:type="dxa" w:w="120"/>
              <w:right w:type="dxa" w:w="160"/>
            </w:tcMar>
          </w:tcPr>
          <w:p>
            <w:r>
              <w:rPr>
                <w:rFonts w:ascii="Calibri" w:cs="Calibri" w:eastAsia="Calibri" w:hAnsi="Calibri"/>
                <w:b/>
                <w:bCs/>
                <w:color w:val="FFFFFF"/>
                <w:sz w:val="22"/>
                <w:szCs w:val="22"/>
              </w:rPr>
              <w:t xml:space="preserve">What the Customer Provides</w:t>
            </w:r>
          </w:p>
        </w:tc>
        <w:tc>
          <w:tcPr>
            <w:tcBorders>
              <w:top w:val="single" w:color="E2E8F0" w:sz="4"/>
              <w:left w:val="single" w:color="E2E8F0" w:sz="4"/>
              <w:bottom w:val="single" w:color="E2E8F0" w:sz="4"/>
              <w:right w:val="single" w:color="E2E8F0" w:sz="4"/>
            </w:tcBorders>
            <w:shd w:fill="0B1F3A" w:val="clear"/>
            <w:tcMar>
              <w:top w:type="dxa" w:w="120"/>
              <w:left w:type="dxa" w:w="160"/>
              <w:bottom w:type="dxa" w:w="120"/>
              <w:right w:type="dxa" w:w="160"/>
            </w:tcMar>
          </w:tcPr>
          <w:p>
            <w:r>
              <w:rPr>
                <w:rFonts w:ascii="Calibri" w:cs="Calibri" w:eastAsia="Calibri" w:hAnsi="Calibri"/>
                <w:b/>
                <w:bCs/>
                <w:color w:val="FFFFFF"/>
                <w:sz w:val="22"/>
                <w:szCs w:val="22"/>
              </w:rPr>
              <w:t xml:space="preserve">ServiceNow Target Tables</w:t>
            </w:r>
          </w:p>
        </w:tc>
      </w:tr>
      <w:tr>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ad_ldap_config.xlsx</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Domain controllers, base DNs, sync schedule, sync filters, attribute mapping</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ldap_server_config, ldap_ou_config</w:t>
            </w:r>
          </w:p>
        </w:tc>
      </w:tr>
      <w:tr>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sso_config.xlsx</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IdP type (Okta, Entra ID, Ping), metadata URL, SAML claims mapping, multi-provider settings</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saml2_update1_properties, sso_properties</w:t>
            </w:r>
          </w:p>
        </w:tc>
      </w:tr>
      <w:tr>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integration_inventory.xlsx</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All current customer integrations: source/target, frequency, payload, business owner, decommission plan</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(reference only)</w:t>
            </w:r>
          </w:p>
        </w:tc>
      </w:tr>
      <w:tr>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spoke_configs.xlsx</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Per-spoke configuration: spoke name, credentials reference, connection settings</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sn_integrationhub_*</w:t>
            </w:r>
          </w:p>
        </w:tc>
      </w:tr>
      <w:tr>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integration_design_specs.docx</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Per-integration design: trigger, payload, error handling, retry policy, ServiceNow tables touched</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(documentation, not imported)</w:t>
            </w:r>
          </w:p>
        </w:tc>
      </w:tr>
    </w:tbl>
    <w:p>
      <w:pPr>
        <w:pStyle w:val="Heading2"/>
        <w:spacing w:after="120" w:before="240"/>
      </w:pPr>
      <w:r>
        <w:rPr>
          <w:rFonts w:ascii="Calibri" w:cs="Calibri" w:eastAsia="Calibri" w:hAnsi="Calibri"/>
          <w:b/>
          <w:bCs/>
          <w:color w:val="0B1F3A"/>
          <w:sz w:val="26"/>
          <w:szCs w:val="26"/>
        </w:rPr>
        <w:t xml:space="preserve">2.7  Process Tuning Pack</w:t>
      </w:r>
    </w:p>
    <w:p>
      <w:pPr>
        <w:spacing w:after="120"/>
      </w:pPr>
      <w:r>
        <w:rPr>
          <w:rFonts w:ascii="Calibri" w:cs="Calibri" w:eastAsia="Calibri" w:hAnsi="Calibri"/>
          <w:b/>
          <w:bCs/>
          <w:color w:val="1E293B"/>
          <w:sz w:val="22"/>
          <w:szCs w:val="22"/>
        </w:rPr>
        <w:t xml:space="preserve">Purpose. </w:t>
      </w:r>
      <w:r>
        <w:rPr>
          <w:rFonts w:ascii="Calibri" w:cs="Calibri" w:eastAsia="Calibri" w:hAnsi="Calibri"/>
          <w:color w:val="1E293B"/>
          <w:sz w:val="22"/>
          <w:szCs w:val="22"/>
        </w:rPr>
        <w:t xml:space="preserve">Capture customer-specific tuning of OOTB processes (Incident, Request, Problem, Change). Tuning means OOTB-allowed configuration choices like categorization, priority calculation matrices, and CAB membership — not customizations.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4320"/>
        <w:gridCol w:w="2520"/>
      </w:tblGrid>
      <w:tr>
        <w:trPr>
          <w:tblHeader/>
        </w:trPr>
        <w:tc>
          <w:tcPr>
            <w:tcBorders>
              <w:top w:val="single" w:color="E2E8F0" w:sz="4"/>
              <w:left w:val="single" w:color="E2E8F0" w:sz="4"/>
              <w:bottom w:val="single" w:color="E2E8F0" w:sz="4"/>
              <w:right w:val="single" w:color="E2E8F0" w:sz="4"/>
            </w:tcBorders>
            <w:shd w:fill="0B1F3A" w:val="clear"/>
            <w:tcMar>
              <w:top w:type="dxa" w:w="120"/>
              <w:left w:type="dxa" w:w="160"/>
              <w:bottom w:type="dxa" w:w="120"/>
              <w:right w:type="dxa" w:w="160"/>
            </w:tcMar>
          </w:tcPr>
          <w:p>
            <w:r>
              <w:rPr>
                <w:rFonts w:ascii="Calibri" w:cs="Calibri" w:eastAsia="Calibri" w:hAnsi="Calibri"/>
                <w:b/>
                <w:bCs/>
                <w:color w:val="FFFFFF"/>
                <w:sz w:val="22"/>
                <w:szCs w:val="22"/>
              </w:rPr>
              <w:t xml:space="preserve">Workbook</w:t>
            </w:r>
          </w:p>
        </w:tc>
        <w:tc>
          <w:tcPr>
            <w:tcBorders>
              <w:top w:val="single" w:color="E2E8F0" w:sz="4"/>
              <w:left w:val="single" w:color="E2E8F0" w:sz="4"/>
              <w:bottom w:val="single" w:color="E2E8F0" w:sz="4"/>
              <w:right w:val="single" w:color="E2E8F0" w:sz="4"/>
            </w:tcBorders>
            <w:shd w:fill="0B1F3A" w:val="clear"/>
            <w:tcMar>
              <w:top w:type="dxa" w:w="120"/>
              <w:left w:type="dxa" w:w="160"/>
              <w:bottom w:type="dxa" w:w="120"/>
              <w:right w:type="dxa" w:w="160"/>
            </w:tcMar>
          </w:tcPr>
          <w:p>
            <w:r>
              <w:rPr>
                <w:rFonts w:ascii="Calibri" w:cs="Calibri" w:eastAsia="Calibri" w:hAnsi="Calibri"/>
                <w:b/>
                <w:bCs/>
                <w:color w:val="FFFFFF"/>
                <w:sz w:val="22"/>
                <w:szCs w:val="22"/>
              </w:rPr>
              <w:t xml:space="preserve">What the Customer Provides</w:t>
            </w:r>
          </w:p>
        </w:tc>
        <w:tc>
          <w:tcPr>
            <w:tcBorders>
              <w:top w:val="single" w:color="E2E8F0" w:sz="4"/>
              <w:left w:val="single" w:color="E2E8F0" w:sz="4"/>
              <w:bottom w:val="single" w:color="E2E8F0" w:sz="4"/>
              <w:right w:val="single" w:color="E2E8F0" w:sz="4"/>
            </w:tcBorders>
            <w:shd w:fill="0B1F3A" w:val="clear"/>
            <w:tcMar>
              <w:top w:type="dxa" w:w="120"/>
              <w:left w:type="dxa" w:w="160"/>
              <w:bottom w:type="dxa" w:w="120"/>
              <w:right w:type="dxa" w:w="160"/>
            </w:tcMar>
          </w:tcPr>
          <w:p>
            <w:r>
              <w:rPr>
                <w:rFonts w:ascii="Calibri" w:cs="Calibri" w:eastAsia="Calibri" w:hAnsi="Calibri"/>
                <w:b/>
                <w:bCs/>
                <w:color w:val="FFFFFF"/>
                <w:sz w:val="22"/>
                <w:szCs w:val="22"/>
              </w:rPr>
              <w:t xml:space="preserve">ServiceNow Target Tables</w:t>
            </w:r>
          </w:p>
        </w:tc>
      </w:tr>
      <w:tr>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incident_categorization.xlsx</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Customer-specific category and subcategory taxonomy</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incident, sys_choice</w:t>
            </w:r>
          </w:p>
        </w:tc>
      </w:tr>
      <w:tr>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priority_matrix.xlsx</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Priority calculation matrix (impact x urgency = priority)</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sys_priority</w:t>
            </w:r>
          </w:p>
        </w:tc>
      </w:tr>
      <w:tr>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change_types.xlsx</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Change type configuration: Standard, Normal, Emergency definitions, approval policies</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change_request, std_change_template</w:t>
            </w:r>
          </w:p>
        </w:tc>
      </w:tr>
      <w:tr>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cab_config.xlsx</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CAB membership, meeting cadence, voting rules, attendance requirements</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(documented; tied to cab_workbench)</w:t>
            </w:r>
          </w:p>
        </w:tc>
      </w:tr>
      <w:tr>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problem_workflow.xlsx</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Problem investigation workflow: known error article triggers, root cause categorization</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problem</w:t>
            </w:r>
          </w:p>
        </w:tc>
      </w:tr>
      <w:tr>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major_incident_config.xlsx</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Major Incident criteria, escalation triggers, communication trees, war room procedures</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(documented; tied to mi_workspace)</w:t>
            </w:r>
          </w:p>
        </w:tc>
      </w:tr>
    </w:tbl>
    <w:p>
      <w:r>
        <w:br w:type="page"/>
      </w:r>
    </w:p>
    <w:p>
      <w:pPr>
        <w:pStyle w:val="Heading1"/>
        <w:spacing w:after="180" w:before="360"/>
      </w:pPr>
      <w:r>
        <w:rPr>
          <w:rFonts w:ascii="Calibri" w:cs="Calibri" w:eastAsia="Calibri" w:hAnsi="Calibri"/>
          <w:b/>
          <w:bCs/>
          <w:color w:val="0B1F3A"/>
          <w:sz w:val="32"/>
          <w:szCs w:val="32"/>
        </w:rPr>
        <w:t xml:space="preserve">3.  Customer Instructions Framework</w:t>
      </w:r>
    </w:p>
    <w:p>
      <w:pPr>
        <w:spacing w:after="120"/>
      </w:pPr>
      <w:r>
        <w:rPr>
          <w:rFonts w:ascii="Calibri" w:cs="Calibri" w:eastAsia="Calibri" w:hAnsi="Calibri"/>
          <w:color w:val="1E293B"/>
          <w:sz w:val="22"/>
          <w:szCs w:val="22"/>
        </w:rPr>
        <w:t xml:space="preserve">Customer SMEs are not ServiceNow experts. The instructions in each Pack workbook must be clear enough that a moderately technical SME can populate a workbook without weekly hand-holding. This section defines the instruction standard.</w:t>
      </w:r>
    </w:p>
    <w:p>
      <w:pPr>
        <w:pStyle w:val="Heading2"/>
        <w:spacing w:after="120" w:before="240"/>
      </w:pPr>
      <w:r>
        <w:rPr>
          <w:rFonts w:ascii="Calibri" w:cs="Calibri" w:eastAsia="Calibri" w:hAnsi="Calibri"/>
          <w:b/>
          <w:bCs/>
          <w:color w:val="0B1F3A"/>
          <w:sz w:val="26"/>
          <w:szCs w:val="26"/>
        </w:rPr>
        <w:t xml:space="preserve">3.1  Standard Instruction Structure</w:t>
      </w:r>
    </w:p>
    <w:p>
      <w:pPr>
        <w:spacing w:after="120"/>
      </w:pPr>
      <w:r>
        <w:rPr>
          <w:rFonts w:ascii="Calibri" w:cs="Calibri" w:eastAsia="Calibri" w:hAnsi="Calibri"/>
          <w:color w:val="1E293B"/>
          <w:sz w:val="22"/>
          <w:szCs w:val="22"/>
        </w:rPr>
        <w:t xml:space="preserve">Every workbook starts with an instruction sheet (the first tab) that follows the same structure:</w:t>
      </w:r>
    </w:p>
    <w:p>
      <w:pPr>
        <w:pStyle w:val="ListParagraph"/>
        <w:numPr>
          <w:ilvl w:val="0"/>
          <w:numId w:val="2"/>
        </w:numPr>
        <w:spacing w:after="60"/>
      </w:pPr>
      <w:r>
        <w:rPr>
          <w:rFonts w:ascii="Calibri" w:cs="Calibri" w:eastAsia="Calibri" w:hAnsi="Calibri"/>
          <w:color w:val="1E293B"/>
          <w:sz w:val="22"/>
          <w:szCs w:val="22"/>
        </w:rPr>
        <w:t xml:space="preserve">Purpose: One paragraph on what the workbook captures and why it matters.</w:t>
      </w:r>
    </w:p>
    <w:p>
      <w:pPr>
        <w:pStyle w:val="ListParagraph"/>
        <w:numPr>
          <w:ilvl w:val="0"/>
          <w:numId w:val="2"/>
        </w:numPr>
        <w:spacing w:after="60"/>
      </w:pPr>
      <w:r>
        <w:rPr>
          <w:rFonts w:ascii="Calibri" w:cs="Calibri" w:eastAsia="Calibri" w:hAnsi="Calibri"/>
          <w:color w:val="1E293B"/>
          <w:sz w:val="22"/>
          <w:szCs w:val="22"/>
        </w:rPr>
        <w:t xml:space="preserve">Who fills this out: Named role (e.g., "IT Operations Manager" or "HR Systems Administrator"). Plural if multiple roles contribute.</w:t>
      </w:r>
    </w:p>
    <w:p>
      <w:pPr>
        <w:pStyle w:val="ListParagraph"/>
        <w:numPr>
          <w:ilvl w:val="0"/>
          <w:numId w:val="2"/>
        </w:numPr>
        <w:spacing w:after="60"/>
      </w:pPr>
      <w:r>
        <w:rPr>
          <w:rFonts w:ascii="Calibri" w:cs="Calibri" w:eastAsia="Calibri" w:hAnsi="Calibri"/>
          <w:color w:val="1E293B"/>
          <w:sz w:val="22"/>
          <w:szCs w:val="22"/>
        </w:rPr>
        <w:t xml:space="preserve">When it's due: Specific date relative to engagement start (e.g., "by Friday of Sprint 0, Week 2").</w:t>
      </w:r>
    </w:p>
    <w:p>
      <w:pPr>
        <w:pStyle w:val="ListParagraph"/>
        <w:numPr>
          <w:ilvl w:val="0"/>
          <w:numId w:val="2"/>
        </w:numPr>
        <w:spacing w:after="60"/>
      </w:pPr>
      <w:r>
        <w:rPr>
          <w:rFonts w:ascii="Calibri" w:cs="Calibri" w:eastAsia="Calibri" w:hAnsi="Calibri"/>
          <w:color w:val="1E293B"/>
          <w:sz w:val="22"/>
          <w:szCs w:val="22"/>
        </w:rPr>
        <w:t xml:space="preserve">How long it takes: Realistic estimate (e.g., "approximately 4–6 hours including data gathering").</w:t>
      </w:r>
    </w:p>
    <w:p>
      <w:pPr>
        <w:pStyle w:val="ListParagraph"/>
        <w:numPr>
          <w:ilvl w:val="0"/>
          <w:numId w:val="2"/>
        </w:numPr>
        <w:spacing w:after="60"/>
      </w:pPr>
      <w:r>
        <w:rPr>
          <w:rFonts w:ascii="Calibri" w:cs="Calibri" w:eastAsia="Calibri" w:hAnsi="Calibri"/>
          <w:color w:val="1E293B"/>
          <w:sz w:val="22"/>
          <w:szCs w:val="22"/>
        </w:rPr>
        <w:t xml:space="preserve">Where the data comes from: Source systems, exports, or other places the SME pulls from.</w:t>
      </w:r>
    </w:p>
    <w:p>
      <w:pPr>
        <w:pStyle w:val="ListParagraph"/>
        <w:numPr>
          <w:ilvl w:val="0"/>
          <w:numId w:val="2"/>
        </w:numPr>
        <w:spacing w:after="60"/>
      </w:pPr>
      <w:r>
        <w:rPr>
          <w:rFonts w:ascii="Calibri" w:cs="Calibri" w:eastAsia="Calibri" w:hAnsi="Calibri"/>
          <w:color w:val="1E293B"/>
          <w:sz w:val="22"/>
          <w:szCs w:val="22"/>
        </w:rPr>
        <w:t xml:space="preserve">Field-by-field guide: Each column explained in plain language with an example.</w:t>
      </w:r>
    </w:p>
    <w:p>
      <w:pPr>
        <w:pStyle w:val="ListParagraph"/>
        <w:numPr>
          <w:ilvl w:val="0"/>
          <w:numId w:val="2"/>
        </w:numPr>
        <w:spacing w:after="60"/>
      </w:pPr>
      <w:r>
        <w:rPr>
          <w:rFonts w:ascii="Calibri" w:cs="Calibri" w:eastAsia="Calibri" w:hAnsi="Calibri"/>
          <w:color w:val="1E293B"/>
          <w:sz w:val="22"/>
          <w:szCs w:val="22"/>
        </w:rPr>
        <w:t xml:space="preserve">Common pitfalls: Top 3–5 mistakes seen in prior engagements and how to avoid them.</w:t>
      </w:r>
    </w:p>
    <w:p>
      <w:pPr>
        <w:pStyle w:val="ListParagraph"/>
        <w:numPr>
          <w:ilvl w:val="0"/>
          <w:numId w:val="2"/>
        </w:numPr>
        <w:spacing w:after="60"/>
      </w:pPr>
      <w:r>
        <w:rPr>
          <w:rFonts w:ascii="Calibri" w:cs="Calibri" w:eastAsia="Calibri" w:hAnsi="Calibri"/>
          <w:color w:val="1E293B"/>
          <w:sz w:val="22"/>
          <w:szCs w:val="22"/>
        </w:rPr>
        <w:t xml:space="preserve">Who to ask: Named ECS Solution Architect or Process Consultant for questions.</w:t>
      </w:r>
    </w:p>
    <w:p>
      <w:pPr>
        <w:pStyle w:val="Heading2"/>
        <w:spacing w:after="120" w:before="240"/>
      </w:pPr>
      <w:r>
        <w:rPr>
          <w:rFonts w:ascii="Calibri" w:cs="Calibri" w:eastAsia="Calibri" w:hAnsi="Calibri"/>
          <w:b/>
          <w:bCs/>
          <w:color w:val="0B1F3A"/>
          <w:sz w:val="26"/>
          <w:szCs w:val="26"/>
        </w:rPr>
        <w:t xml:space="preserve">3.2  Tone and Clarity Standards</w:t>
      </w:r>
    </w:p>
    <w:p>
      <w:pPr>
        <w:pStyle w:val="ListParagraph"/>
        <w:numPr>
          <w:ilvl w:val="0"/>
          <w:numId w:val="3"/>
        </w:numPr>
        <w:spacing w:after="60"/>
      </w:pPr>
      <w:r>
        <w:rPr>
          <w:rFonts w:ascii="Calibri" w:cs="Calibri" w:eastAsia="Calibri" w:hAnsi="Calibri"/>
          <w:color w:val="1E293B"/>
          <w:sz w:val="22"/>
          <w:szCs w:val="22"/>
        </w:rPr>
        <w:t xml:space="preserve">Plain language. Assume the SME is technical but not a ServiceNow specialist. Avoid jargon; when a ServiceNow term must be used, define it inline.</w:t>
      </w:r>
    </w:p>
    <w:p>
      <w:pPr>
        <w:pStyle w:val="ListParagraph"/>
        <w:numPr>
          <w:ilvl w:val="0"/>
          <w:numId w:val="3"/>
        </w:numPr>
        <w:spacing w:after="60"/>
      </w:pPr>
      <w:r>
        <w:rPr>
          <w:rFonts w:ascii="Calibri" w:cs="Calibri" w:eastAsia="Calibri" w:hAnsi="Calibri"/>
          <w:color w:val="1E293B"/>
          <w:sz w:val="22"/>
          <w:szCs w:val="22"/>
        </w:rPr>
        <w:t xml:space="preserve">One concept per sentence. Long, multi-clause sentences fail in non-native-English shops. Short, declarative sentences travel.</w:t>
      </w:r>
    </w:p>
    <w:p>
      <w:pPr>
        <w:pStyle w:val="ListParagraph"/>
        <w:numPr>
          <w:ilvl w:val="0"/>
          <w:numId w:val="3"/>
        </w:numPr>
        <w:spacing w:after="60"/>
      </w:pPr>
      <w:r>
        <w:rPr>
          <w:rFonts w:ascii="Calibri" w:cs="Calibri" w:eastAsia="Calibri" w:hAnsi="Calibri"/>
          <w:color w:val="1E293B"/>
          <w:sz w:val="22"/>
          <w:szCs w:val="22"/>
        </w:rPr>
        <w:t xml:space="preserve">Specific examples beat abstract description. "Like 'New Hire IT Onboarding'" lands better than "a representative catalog item name."</w:t>
      </w:r>
    </w:p>
    <w:p>
      <w:pPr>
        <w:pStyle w:val="ListParagraph"/>
        <w:numPr>
          <w:ilvl w:val="0"/>
          <w:numId w:val="3"/>
        </w:numPr>
        <w:spacing w:after="60"/>
      </w:pPr>
      <w:r>
        <w:rPr>
          <w:rFonts w:ascii="Calibri" w:cs="Calibri" w:eastAsia="Calibri" w:hAnsi="Calibri"/>
          <w:color w:val="1E293B"/>
          <w:sz w:val="22"/>
          <w:szCs w:val="22"/>
        </w:rPr>
        <w:t xml:space="preserve">Consequences, not threats. "If this column is incomplete, we cannot route incidents correctly" — not "this is mandatory."</w:t>
      </w:r>
    </w:p>
    <w:p>
      <w:pPr>
        <w:pStyle w:val="ListParagraph"/>
        <w:numPr>
          <w:ilvl w:val="0"/>
          <w:numId w:val="3"/>
        </w:numPr>
        <w:spacing w:after="60"/>
      </w:pPr>
      <w:r>
        <w:rPr>
          <w:rFonts w:ascii="Calibri" w:cs="Calibri" w:eastAsia="Calibri" w:hAnsi="Calibri"/>
          <w:color w:val="1E293B"/>
          <w:sz w:val="22"/>
          <w:szCs w:val="22"/>
        </w:rPr>
        <w:t xml:space="preserve">No internal acronyms. Customers don't know what RYG, IPS, or CSDM mean. Define every acronym on first use.</w:t>
      </w:r>
    </w:p>
    <w:p>
      <w:pPr>
        <w:pStyle w:val="Heading2"/>
        <w:spacing w:after="120" w:before="240"/>
      </w:pPr>
      <w:r>
        <w:rPr>
          <w:rFonts w:ascii="Calibri" w:cs="Calibri" w:eastAsia="Calibri" w:hAnsi="Calibri"/>
          <w:b/>
          <w:bCs/>
          <w:color w:val="0B1F3A"/>
          <w:sz w:val="26"/>
          <w:szCs w:val="26"/>
        </w:rPr>
        <w:t xml:space="preserve">3.3  Common Pitfalls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060"/>
        <w:gridCol w:w="3780"/>
      </w:tblGrid>
      <w:tr>
        <w:trPr>
          <w:tblHeader/>
        </w:trPr>
        <w:tc>
          <w:tcPr>
            <w:tcBorders>
              <w:top w:val="single" w:color="E2E8F0" w:sz="4"/>
              <w:left w:val="single" w:color="E2E8F0" w:sz="4"/>
              <w:bottom w:val="single" w:color="E2E8F0" w:sz="4"/>
              <w:right w:val="single" w:color="E2E8F0" w:sz="4"/>
            </w:tcBorders>
            <w:shd w:fill="0B1F3A" w:val="clear"/>
            <w:tcMar>
              <w:top w:type="dxa" w:w="120"/>
              <w:left w:type="dxa" w:w="160"/>
              <w:bottom w:type="dxa" w:w="120"/>
              <w:right w:type="dxa" w:w="160"/>
            </w:tcMar>
          </w:tcPr>
          <w:p>
            <w:r>
              <w:rPr>
                <w:rFonts w:ascii="Calibri" w:cs="Calibri" w:eastAsia="Calibri" w:hAnsi="Calibri"/>
                <w:b/>
                <w:bCs/>
                <w:color w:val="FFFFFF"/>
                <w:sz w:val="22"/>
                <w:szCs w:val="22"/>
              </w:rPr>
              <w:t xml:space="preserve">Pitfall</w:t>
            </w:r>
          </w:p>
        </w:tc>
        <w:tc>
          <w:tcPr>
            <w:tcBorders>
              <w:top w:val="single" w:color="E2E8F0" w:sz="4"/>
              <w:left w:val="single" w:color="E2E8F0" w:sz="4"/>
              <w:bottom w:val="single" w:color="E2E8F0" w:sz="4"/>
              <w:right w:val="single" w:color="E2E8F0" w:sz="4"/>
            </w:tcBorders>
            <w:shd w:fill="0B1F3A" w:val="clear"/>
            <w:tcMar>
              <w:top w:type="dxa" w:w="120"/>
              <w:left w:type="dxa" w:w="160"/>
              <w:bottom w:type="dxa" w:w="120"/>
              <w:right w:type="dxa" w:w="160"/>
            </w:tcMar>
          </w:tcPr>
          <w:p>
            <w:r>
              <w:rPr>
                <w:rFonts w:ascii="Calibri" w:cs="Calibri" w:eastAsia="Calibri" w:hAnsi="Calibri"/>
                <w:b/>
                <w:bCs/>
                <w:color w:val="FFFFFF"/>
                <w:sz w:val="22"/>
                <w:szCs w:val="22"/>
              </w:rPr>
              <w:t xml:space="preserve">Why it Happens</w:t>
            </w:r>
          </w:p>
        </w:tc>
        <w:tc>
          <w:tcPr>
            <w:tcBorders>
              <w:top w:val="single" w:color="E2E8F0" w:sz="4"/>
              <w:left w:val="single" w:color="E2E8F0" w:sz="4"/>
              <w:bottom w:val="single" w:color="E2E8F0" w:sz="4"/>
              <w:right w:val="single" w:color="E2E8F0" w:sz="4"/>
            </w:tcBorders>
            <w:shd w:fill="0B1F3A" w:val="clear"/>
            <w:tcMar>
              <w:top w:type="dxa" w:w="120"/>
              <w:left w:type="dxa" w:w="160"/>
              <w:bottom w:type="dxa" w:w="120"/>
              <w:right w:type="dxa" w:w="160"/>
            </w:tcMar>
          </w:tcPr>
          <w:p>
            <w:r>
              <w:rPr>
                <w:rFonts w:ascii="Calibri" w:cs="Calibri" w:eastAsia="Calibri" w:hAnsi="Calibri"/>
                <w:b/>
                <w:bCs/>
                <w:color w:val="FFFFFF"/>
                <w:sz w:val="22"/>
                <w:szCs w:val="22"/>
              </w:rPr>
              <w:t xml:space="preserve">Mitigation in the Instructions</w:t>
            </w:r>
          </w:p>
        </w:tc>
      </w:tr>
      <w:tr>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Customer guesses at columns they don't understand</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Field name is ambiguous or assumes ServiceNow knowledge</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Provide a one-sentence definition + example for every column</w:t>
            </w:r>
          </w:p>
        </w:tc>
      </w:tr>
      <w:tr>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Data is incomplete because customer ran out of time</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Estimate was too optimistic; SME got pulled to other priorities</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Be honest about time required; flag dependencies on source-system access in the instructions</w:t>
            </w:r>
          </w:p>
        </w:tc>
      </w:tr>
      <w:tr>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Customer fills out workbook with bad data because they don't know what 'good' looks like</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No quality benchmark provided</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Include a 'good vs. bad' example near the top of each tab</w:t>
            </w:r>
          </w:p>
        </w:tc>
      </w:tr>
      <w:tr>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Customer adds columns or restructures workbook to 'be helpful'</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Customer perceives the structure as flexible</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Lock the structure (Excel sheet protection) and explain in instructions that ECS will not import non-standard structures</w:t>
            </w:r>
          </w:p>
        </w:tc>
      </w:tr>
      <w:tr>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Customer asks the same question repeatedly</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FAQ-style content is missing from the instructions</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Add a 'Frequently Asked Questions' section to every Pack-level instruction document</w:t>
            </w:r>
          </w:p>
        </w:tc>
      </w:tr>
    </w:tbl>
    <w:p>
      <w:r>
        <w:br w:type="page"/>
      </w:r>
    </w:p>
    <w:p>
      <w:pPr>
        <w:pStyle w:val="Heading1"/>
        <w:spacing w:after="180" w:before="360"/>
      </w:pPr>
      <w:r>
        <w:rPr>
          <w:rFonts w:ascii="Calibri" w:cs="Calibri" w:eastAsia="Calibri" w:hAnsi="Calibri"/>
          <w:b/>
          <w:bCs/>
          <w:color w:val="0B1F3A"/>
          <w:sz w:val="32"/>
          <w:szCs w:val="32"/>
        </w:rPr>
        <w:t xml:space="preserve">4.  Validation Rules</w:t>
      </w:r>
    </w:p>
    <w:p>
      <w:pPr>
        <w:spacing w:after="120"/>
      </w:pPr>
      <w:r>
        <w:rPr>
          <w:rFonts w:ascii="Calibri" w:cs="Calibri" w:eastAsia="Calibri" w:hAnsi="Calibri"/>
          <w:color w:val="1E293B"/>
          <w:sz w:val="22"/>
          <w:szCs w:val="22"/>
        </w:rPr>
        <w:t xml:space="preserve">Before any Pack workbook is imported into ServiceNow, the engagement team validates it against a defined set of rules. This catches data quality issues before they pollute the new instance.</w:t>
      </w:r>
    </w:p>
    <w:p>
      <w:pPr>
        <w:pStyle w:val="Heading2"/>
        <w:spacing w:after="120" w:before="240"/>
      </w:pPr>
      <w:r>
        <w:rPr>
          <w:rFonts w:ascii="Calibri" w:cs="Calibri" w:eastAsia="Calibri" w:hAnsi="Calibri"/>
          <w:b/>
          <w:bCs/>
          <w:color w:val="0B1F3A"/>
          <w:sz w:val="26"/>
          <w:szCs w:val="26"/>
        </w:rPr>
        <w:t xml:space="preserve">4.1  Universal Validation Rules</w:t>
      </w:r>
    </w:p>
    <w:p>
      <w:pPr>
        <w:spacing w:after="120"/>
      </w:pPr>
      <w:r>
        <w:rPr>
          <w:rFonts w:ascii="Calibri" w:cs="Calibri" w:eastAsia="Calibri" w:hAnsi="Calibri"/>
          <w:color w:val="1E293B"/>
          <w:sz w:val="22"/>
          <w:szCs w:val="22"/>
        </w:rPr>
        <w:t xml:space="preserve">Apply to every workbook regardless of workstream:</w:t>
      </w:r>
    </w:p>
    <w:p>
      <w:pPr>
        <w:pStyle w:val="ListParagraph"/>
        <w:numPr>
          <w:ilvl w:val="0"/>
          <w:numId w:val="3"/>
        </w:numPr>
        <w:spacing w:after="60"/>
      </w:pPr>
      <w:r>
        <w:rPr>
          <w:rFonts w:ascii="Calibri" w:cs="Calibri" w:eastAsia="Calibri" w:hAnsi="Calibri"/>
          <w:color w:val="1E293B"/>
          <w:sz w:val="22"/>
          <w:szCs w:val="22"/>
        </w:rPr>
        <w:t xml:space="preserve">Required fields are populated for every row. Empty required-cell rows are rejected.</w:t>
      </w:r>
    </w:p>
    <w:p>
      <w:pPr>
        <w:pStyle w:val="ListParagraph"/>
        <w:numPr>
          <w:ilvl w:val="0"/>
          <w:numId w:val="3"/>
        </w:numPr>
        <w:spacing w:after="60"/>
      </w:pPr>
      <w:r>
        <w:rPr>
          <w:rFonts w:ascii="Calibri" w:cs="Calibri" w:eastAsia="Calibri" w:hAnsi="Calibri"/>
          <w:color w:val="1E293B"/>
          <w:sz w:val="22"/>
          <w:szCs w:val="22"/>
        </w:rPr>
        <w:t xml:space="preserve">No duplicate primary keys (e.g., duplicate user IDs, duplicate location names within a parent).</w:t>
      </w:r>
    </w:p>
    <w:p>
      <w:pPr>
        <w:pStyle w:val="ListParagraph"/>
        <w:numPr>
          <w:ilvl w:val="0"/>
          <w:numId w:val="3"/>
        </w:numPr>
        <w:spacing w:after="60"/>
      </w:pPr>
      <w:r>
        <w:rPr>
          <w:rFonts w:ascii="Calibri" w:cs="Calibri" w:eastAsia="Calibri" w:hAnsi="Calibri"/>
          <w:color w:val="1E293B"/>
          <w:sz w:val="22"/>
          <w:szCs w:val="22"/>
        </w:rPr>
        <w:t xml:space="preserve">Foreign-key references resolve (e.g., 'manager' value matches a user in the user inventory; 'location' matches a location).</w:t>
      </w:r>
    </w:p>
    <w:p>
      <w:pPr>
        <w:pStyle w:val="ListParagraph"/>
        <w:numPr>
          <w:ilvl w:val="0"/>
          <w:numId w:val="3"/>
        </w:numPr>
        <w:spacing w:after="60"/>
      </w:pPr>
      <w:r>
        <w:rPr>
          <w:rFonts w:ascii="Calibri" w:cs="Calibri" w:eastAsia="Calibri" w:hAnsi="Calibri"/>
          <w:color w:val="1E293B"/>
          <w:sz w:val="22"/>
          <w:szCs w:val="22"/>
        </w:rPr>
        <w:t xml:space="preserve">Date fields parse to valid dates in expected format.</w:t>
      </w:r>
    </w:p>
    <w:p>
      <w:pPr>
        <w:pStyle w:val="ListParagraph"/>
        <w:numPr>
          <w:ilvl w:val="0"/>
          <w:numId w:val="3"/>
        </w:numPr>
        <w:spacing w:after="60"/>
      </w:pPr>
      <w:r>
        <w:rPr>
          <w:rFonts w:ascii="Calibri" w:cs="Calibri" w:eastAsia="Calibri" w:hAnsi="Calibri"/>
          <w:color w:val="1E293B"/>
          <w:sz w:val="22"/>
          <w:szCs w:val="22"/>
        </w:rPr>
        <w:t xml:space="preserve">Enumerated fields contain only allowed values (case-sensitive match).</w:t>
      </w:r>
    </w:p>
    <w:p>
      <w:pPr>
        <w:pStyle w:val="ListParagraph"/>
        <w:numPr>
          <w:ilvl w:val="0"/>
          <w:numId w:val="3"/>
        </w:numPr>
        <w:spacing w:after="60"/>
      </w:pPr>
      <w:r>
        <w:rPr>
          <w:rFonts w:ascii="Calibri" w:cs="Calibri" w:eastAsia="Calibri" w:hAnsi="Calibri"/>
          <w:color w:val="1E293B"/>
          <w:sz w:val="22"/>
          <w:szCs w:val="22"/>
        </w:rPr>
        <w:t xml:space="preserve">No custom columns added; no columns removed; sheet structure matches the template.</w:t>
      </w:r>
    </w:p>
    <w:p>
      <w:pPr>
        <w:pStyle w:val="ListParagraph"/>
        <w:numPr>
          <w:ilvl w:val="0"/>
          <w:numId w:val="3"/>
        </w:numPr>
        <w:spacing w:after="60"/>
      </w:pPr>
      <w:r>
        <w:rPr>
          <w:rFonts w:ascii="Calibri" w:cs="Calibri" w:eastAsia="Calibri" w:hAnsi="Calibri"/>
          <w:color w:val="1E293B"/>
          <w:sz w:val="22"/>
          <w:szCs w:val="22"/>
        </w:rPr>
        <w:t xml:space="preserve">Row count is plausible (e.g., user count is reasonable for the customer's headcount; CI count is non-zero).</w:t>
      </w:r>
    </w:p>
    <w:p>
      <w:pPr>
        <w:pStyle w:val="Heading2"/>
        <w:spacing w:after="120" w:before="240"/>
      </w:pPr>
      <w:r>
        <w:rPr>
          <w:rFonts w:ascii="Calibri" w:cs="Calibri" w:eastAsia="Calibri" w:hAnsi="Calibri"/>
          <w:b/>
          <w:bCs/>
          <w:color w:val="0B1F3A"/>
          <w:sz w:val="26"/>
          <w:szCs w:val="26"/>
        </w:rPr>
        <w:t xml:space="preserve">4.2  Workstream-Specific Validation Highlights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rPr>
          <w:tblHeader/>
        </w:trPr>
        <w:tc>
          <w:tcPr>
            <w:tcBorders>
              <w:top w:val="single" w:color="E2E8F0" w:sz="4"/>
              <w:left w:val="single" w:color="E2E8F0" w:sz="4"/>
              <w:bottom w:val="single" w:color="E2E8F0" w:sz="4"/>
              <w:right w:val="single" w:color="E2E8F0" w:sz="4"/>
            </w:tcBorders>
            <w:shd w:fill="0B1F3A" w:val="clear"/>
            <w:tcMar>
              <w:top w:type="dxa" w:w="120"/>
              <w:left w:type="dxa" w:w="160"/>
              <w:bottom w:type="dxa" w:w="120"/>
              <w:right w:type="dxa" w:w="160"/>
            </w:tcMar>
          </w:tcPr>
          <w:p>
            <w:r>
              <w:rPr>
                <w:rFonts w:ascii="Calibri" w:cs="Calibri" w:eastAsia="Calibri" w:hAnsi="Calibri"/>
                <w:b/>
                <w:bCs/>
                <w:color w:val="FFFFFF"/>
                <w:sz w:val="22"/>
                <w:szCs w:val="22"/>
              </w:rPr>
              <w:t xml:space="preserve">Workstream</w:t>
            </w:r>
          </w:p>
        </w:tc>
        <w:tc>
          <w:tcPr>
            <w:tcBorders>
              <w:top w:val="single" w:color="E2E8F0" w:sz="4"/>
              <w:left w:val="single" w:color="E2E8F0" w:sz="4"/>
              <w:bottom w:val="single" w:color="E2E8F0" w:sz="4"/>
              <w:right w:val="single" w:color="E2E8F0" w:sz="4"/>
            </w:tcBorders>
            <w:shd w:fill="0B1F3A" w:val="clear"/>
            <w:tcMar>
              <w:top w:type="dxa" w:w="120"/>
              <w:left w:type="dxa" w:w="160"/>
              <w:bottom w:type="dxa" w:w="120"/>
              <w:right w:type="dxa" w:w="160"/>
            </w:tcMar>
          </w:tcPr>
          <w:p>
            <w:r>
              <w:rPr>
                <w:rFonts w:ascii="Calibri" w:cs="Calibri" w:eastAsia="Calibri" w:hAnsi="Calibri"/>
                <w:b/>
                <w:bCs/>
                <w:color w:val="FFFFFF"/>
                <w:sz w:val="22"/>
                <w:szCs w:val="22"/>
              </w:rPr>
              <w:t xml:space="preserve">Critical Validation Rules</w:t>
            </w:r>
          </w:p>
        </w:tc>
      </w:tr>
      <w:tr>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Foundation Data — Users</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Email is unique and parseable; manager hierarchy has no cycles; AD/SSO identifier is present for accounts that need login</w:t>
            </w:r>
          </w:p>
        </w:tc>
      </w:tr>
      <w:tr>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Foundation Data — Groups</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Group manager is a valid user; group memberships reference valid users; no orphan group references in assignment rules</w:t>
            </w:r>
          </w:p>
        </w:tc>
      </w:tr>
      <w:tr>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CMDB / CSDM</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Every Business Service has at least one supporting Technical Service; every Technical Service has at least one Application Service; relationship types are CSDM 5.0-valid</w:t>
            </w:r>
          </w:p>
        </w:tc>
      </w:tr>
      <w:tr>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Service Catalog</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Each catalog item has at least one fulfillment group; variables reference valid tables; approval definitions reference valid groups or users</w:t>
            </w:r>
          </w:p>
        </w:tc>
      </w:tr>
      <w:tr>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Knowledge Management</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Every article to port has a category; categories form a valid tree; articles flagged for retire are not also flagged to port</w:t>
            </w:r>
          </w:p>
        </w:tc>
      </w:tr>
      <w:tr>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Discovery</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Credentials reference valid MID servers; IP ranges don't overlap; SCCM/Intune credentials have been tested</w:t>
            </w:r>
          </w:p>
        </w:tc>
      </w:tr>
      <w:tr>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Integrations</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AD base DNs resolve; SSO IdP metadata URL is reachable; spoke credentials are stored in the credential vault</w:t>
            </w:r>
          </w:p>
        </w:tc>
      </w:tr>
    </w:tbl>
    <w:p>
      <w:pPr>
        <w:pStyle w:val="Heading2"/>
        <w:spacing w:after="120" w:before="240"/>
      </w:pPr>
      <w:r>
        <w:rPr>
          <w:rFonts w:ascii="Calibri" w:cs="Calibri" w:eastAsia="Calibri" w:hAnsi="Calibri"/>
          <w:b/>
          <w:bCs/>
          <w:color w:val="0B1F3A"/>
          <w:sz w:val="26"/>
          <w:szCs w:val="26"/>
        </w:rPr>
        <w:t xml:space="preserve">4.3  Validation Workflow</w:t>
      </w:r>
    </w:p>
    <w:p>
      <w:pPr>
        <w:pStyle w:val="ListParagraph"/>
        <w:numPr>
          <w:ilvl w:val="0"/>
          <w:numId w:val="2"/>
        </w:numPr>
        <w:spacing w:after="60"/>
      </w:pPr>
      <w:r>
        <w:rPr>
          <w:rFonts w:ascii="Calibri" w:cs="Calibri" w:eastAsia="Calibri" w:hAnsi="Calibri"/>
          <w:color w:val="1E293B"/>
          <w:sz w:val="22"/>
          <w:szCs w:val="22"/>
        </w:rPr>
        <w:t xml:space="preserve">Customer submits completed workbook to ECS Solution Architect or Process Consultant.</w:t>
      </w:r>
    </w:p>
    <w:p>
      <w:pPr>
        <w:pStyle w:val="ListParagraph"/>
        <w:numPr>
          <w:ilvl w:val="0"/>
          <w:numId w:val="2"/>
        </w:numPr>
        <w:spacing w:after="60"/>
      </w:pPr>
      <w:r>
        <w:rPr>
          <w:rFonts w:ascii="Calibri" w:cs="Calibri" w:eastAsia="Calibri" w:hAnsi="Calibri"/>
          <w:color w:val="1E293B"/>
          <w:sz w:val="22"/>
          <w:szCs w:val="22"/>
        </w:rPr>
        <w:t xml:space="preserve">Solution Architect runs the validation script (per-workbook, in the practice library) and produces a validation report.</w:t>
      </w:r>
    </w:p>
    <w:p>
      <w:pPr>
        <w:pStyle w:val="ListParagraph"/>
        <w:numPr>
          <w:ilvl w:val="0"/>
          <w:numId w:val="2"/>
        </w:numPr>
        <w:spacing w:after="60"/>
      </w:pPr>
      <w:r>
        <w:rPr>
          <w:rFonts w:ascii="Calibri" w:cs="Calibri" w:eastAsia="Calibri" w:hAnsi="Calibri"/>
          <w:color w:val="1E293B"/>
          <w:sz w:val="22"/>
          <w:szCs w:val="22"/>
        </w:rPr>
        <w:t xml:space="preserve">Validation report categorizes issues: Errors (must fix), Warnings (should fix), Notes (informational).</w:t>
      </w:r>
    </w:p>
    <w:p>
      <w:pPr>
        <w:pStyle w:val="ListParagraph"/>
        <w:numPr>
          <w:ilvl w:val="0"/>
          <w:numId w:val="2"/>
        </w:numPr>
        <w:spacing w:after="60"/>
      </w:pPr>
      <w:r>
        <w:rPr>
          <w:rFonts w:ascii="Calibri" w:cs="Calibri" w:eastAsia="Calibri" w:hAnsi="Calibri"/>
          <w:color w:val="1E293B"/>
          <w:sz w:val="22"/>
          <w:szCs w:val="22"/>
        </w:rPr>
        <w:t xml:space="preserve">Workbook with Errors is returned to customer with a clear list of corrections needed.</w:t>
      </w:r>
    </w:p>
    <w:p>
      <w:pPr>
        <w:pStyle w:val="ListParagraph"/>
        <w:numPr>
          <w:ilvl w:val="0"/>
          <w:numId w:val="2"/>
        </w:numPr>
        <w:spacing w:after="60"/>
      </w:pPr>
      <w:r>
        <w:rPr>
          <w:rFonts w:ascii="Calibri" w:cs="Calibri" w:eastAsia="Calibri" w:hAnsi="Calibri"/>
          <w:color w:val="1E293B"/>
          <w:sz w:val="22"/>
          <w:szCs w:val="22"/>
        </w:rPr>
        <w:t xml:space="preserve">Workbook with only Warnings is reviewed in a 30-min sync with the customer SME; warnings either get fixed or are accepted with risk noted.</w:t>
      </w:r>
    </w:p>
    <w:p>
      <w:pPr>
        <w:pStyle w:val="ListParagraph"/>
        <w:numPr>
          <w:ilvl w:val="0"/>
          <w:numId w:val="2"/>
        </w:numPr>
        <w:spacing w:after="60"/>
      </w:pPr>
      <w:r>
        <w:rPr>
          <w:rFonts w:ascii="Calibri" w:cs="Calibri" w:eastAsia="Calibri" w:hAnsi="Calibri"/>
          <w:color w:val="1E293B"/>
          <w:sz w:val="22"/>
          <w:szCs w:val="22"/>
        </w:rPr>
        <w:t xml:space="preserve">Validated workbook moves to Import Procedures (Section 5).</w:t>
      </w:r>
    </w:p>
    <w:p>
      <w:r>
        <w:br w:type="page"/>
      </w:r>
    </w:p>
    <w:p>
      <w:pPr>
        <w:pStyle w:val="Heading1"/>
        <w:spacing w:after="180" w:before="360"/>
      </w:pPr>
      <w:r>
        <w:rPr>
          <w:rFonts w:ascii="Calibri" w:cs="Calibri" w:eastAsia="Calibri" w:hAnsi="Calibri"/>
          <w:b/>
          <w:bCs/>
          <w:color w:val="0B1F3A"/>
          <w:sz w:val="32"/>
          <w:szCs w:val="32"/>
        </w:rPr>
        <w:t xml:space="preserve">5.  Import Procedures</w:t>
      </w:r>
    </w:p>
    <w:p>
      <w:pPr>
        <w:pStyle w:val="Heading2"/>
        <w:spacing w:after="120" w:before="240"/>
      </w:pPr>
      <w:r>
        <w:rPr>
          <w:rFonts w:ascii="Calibri" w:cs="Calibri" w:eastAsia="Calibri" w:hAnsi="Calibri"/>
          <w:b/>
          <w:bCs/>
          <w:color w:val="0B1F3A"/>
          <w:sz w:val="26"/>
          <w:szCs w:val="26"/>
        </w:rPr>
        <w:t xml:space="preserve">5.1  Pack-to-ServiceNow Pipeline</w:t>
      </w:r>
    </w:p>
    <w:p>
      <w:pPr>
        <w:spacing w:after="120"/>
      </w:pPr>
      <w:r>
        <w:rPr>
          <w:rFonts w:ascii="Calibri" w:cs="Calibri" w:eastAsia="Calibri" w:hAnsi="Calibri"/>
          <w:color w:val="1E293B"/>
          <w:sz w:val="22"/>
          <w:szCs w:val="22"/>
        </w:rPr>
        <w:t xml:space="preserve">Each workbook follows the same pipeline from validated data to ServiceNow tables:</w:t>
      </w:r>
    </w:p>
    <w:p>
      <w:pPr>
        <w:pStyle w:val="ListParagraph"/>
        <w:numPr>
          <w:ilvl w:val="0"/>
          <w:numId w:val="2"/>
        </w:numPr>
        <w:spacing w:after="60"/>
      </w:pPr>
      <w:r>
        <w:rPr>
          <w:rFonts w:ascii="Calibri" w:cs="Calibri" w:eastAsia="Calibri" w:hAnsi="Calibri"/>
          <w:color w:val="1E293B"/>
          <w:sz w:val="22"/>
          <w:szCs w:val="22"/>
        </w:rPr>
        <w:t xml:space="preserve">Validated workbook is converted to a CSV (one CSV per sheet) using the practice's standard conversion script.</w:t>
      </w:r>
    </w:p>
    <w:p>
      <w:pPr>
        <w:pStyle w:val="ListParagraph"/>
        <w:numPr>
          <w:ilvl w:val="0"/>
          <w:numId w:val="2"/>
        </w:numPr>
        <w:spacing w:after="60"/>
      </w:pPr>
      <w:r>
        <w:rPr>
          <w:rFonts w:ascii="Calibri" w:cs="Calibri" w:eastAsia="Calibri" w:hAnsi="Calibri"/>
          <w:color w:val="1E293B"/>
          <w:sz w:val="22"/>
          <w:szCs w:val="22"/>
        </w:rPr>
        <w:t xml:space="preserve">CSVs are loaded into ServiceNow Import Sets in the sub-prod instance.</w:t>
      </w:r>
    </w:p>
    <w:p>
      <w:pPr>
        <w:pStyle w:val="ListParagraph"/>
        <w:numPr>
          <w:ilvl w:val="0"/>
          <w:numId w:val="2"/>
        </w:numPr>
        <w:spacing w:after="60"/>
      </w:pPr>
      <w:r>
        <w:rPr>
          <w:rFonts w:ascii="Calibri" w:cs="Calibri" w:eastAsia="Calibri" w:hAnsi="Calibri"/>
          <w:color w:val="1E293B"/>
          <w:sz w:val="22"/>
          <w:szCs w:val="22"/>
        </w:rPr>
        <w:t xml:space="preserve">Pre-built Transform Maps (in the practice library) move data from staging tables to target ServiceNow tables.</w:t>
      </w:r>
    </w:p>
    <w:p>
      <w:pPr>
        <w:pStyle w:val="ListParagraph"/>
        <w:numPr>
          <w:ilvl w:val="0"/>
          <w:numId w:val="2"/>
        </w:numPr>
        <w:spacing w:after="60"/>
      </w:pPr>
      <w:r>
        <w:rPr>
          <w:rFonts w:ascii="Calibri" w:cs="Calibri" w:eastAsia="Calibri" w:hAnsi="Calibri"/>
          <w:color w:val="1E293B"/>
          <w:sz w:val="22"/>
          <w:szCs w:val="22"/>
        </w:rPr>
        <w:t xml:space="preserve">Transform Map run is captured in an Update Set named per the engagement's update-set convention.</w:t>
      </w:r>
    </w:p>
    <w:p>
      <w:pPr>
        <w:pStyle w:val="ListParagraph"/>
        <w:numPr>
          <w:ilvl w:val="0"/>
          <w:numId w:val="2"/>
        </w:numPr>
        <w:spacing w:after="60"/>
      </w:pPr>
      <w:r>
        <w:rPr>
          <w:rFonts w:ascii="Calibri" w:cs="Calibri" w:eastAsia="Calibri" w:hAnsi="Calibri"/>
          <w:color w:val="1E293B"/>
          <w:sz w:val="22"/>
          <w:szCs w:val="22"/>
        </w:rPr>
        <w:t xml:space="preserve">Smoke test runs to verify record counts, key relationships, and reference integrity.</w:t>
      </w:r>
    </w:p>
    <w:p>
      <w:pPr>
        <w:pStyle w:val="ListParagraph"/>
        <w:numPr>
          <w:ilvl w:val="0"/>
          <w:numId w:val="2"/>
        </w:numPr>
        <w:spacing w:after="60"/>
      </w:pPr>
      <w:r>
        <w:rPr>
          <w:rFonts w:ascii="Calibri" w:cs="Calibri" w:eastAsia="Calibri" w:hAnsi="Calibri"/>
          <w:color w:val="1E293B"/>
          <w:sz w:val="22"/>
          <w:szCs w:val="22"/>
        </w:rPr>
        <w:t xml:space="preserve">If smoke test passes, Update Set is promoted to the test instance for further validation; eventually to prod as part of cutover.</w:t>
      </w:r>
    </w:p>
    <w:p>
      <w:pPr>
        <w:pStyle w:val="ListParagraph"/>
        <w:numPr>
          <w:ilvl w:val="0"/>
          <w:numId w:val="2"/>
        </w:numPr>
        <w:spacing w:after="60"/>
      </w:pPr>
      <w:r>
        <w:rPr>
          <w:rFonts w:ascii="Calibri" w:cs="Calibri" w:eastAsia="Calibri" w:hAnsi="Calibri"/>
          <w:color w:val="1E293B"/>
          <w:sz w:val="22"/>
          <w:szCs w:val="22"/>
        </w:rPr>
        <w:t xml:space="preserve">If smoke test fails, Update Set is reverted, root cause logged, and Pack workbook re-validated.</w:t>
      </w:r>
    </w:p>
    <w:p>
      <w:pPr>
        <w:pStyle w:val="Heading2"/>
        <w:spacing w:after="120" w:before="240"/>
      </w:pPr>
      <w:r>
        <w:rPr>
          <w:rFonts w:ascii="Calibri" w:cs="Calibri" w:eastAsia="Calibri" w:hAnsi="Calibri"/>
          <w:b/>
          <w:bCs/>
          <w:color w:val="0B1F3A"/>
          <w:sz w:val="26"/>
          <w:szCs w:val="26"/>
        </w:rPr>
        <w:t xml:space="preserve">5.2  Order of Operations Across Packs</w:t>
      </w:r>
    </w:p>
    <w:p>
      <w:pPr>
        <w:spacing w:after="120"/>
      </w:pPr>
      <w:r>
        <w:rPr>
          <w:rFonts w:ascii="Calibri" w:cs="Calibri" w:eastAsia="Calibri" w:hAnsi="Calibri"/>
          <w:color w:val="1E293B"/>
          <w:sz w:val="22"/>
          <w:szCs w:val="22"/>
        </w:rPr>
        <w:t xml:space="preserve">Order matters. Foreign-key references mean some packs must import before others.</w:t>
      </w:r>
    </w:p>
    <w:p>
      <w:pPr>
        <w:pStyle w:val="ListParagraph"/>
        <w:numPr>
          <w:ilvl w:val="0"/>
          <w:numId w:val="2"/>
        </w:numPr>
        <w:spacing w:after="60"/>
      </w:pPr>
      <w:r>
        <w:rPr>
          <w:rFonts w:ascii="Calibri" w:cs="Calibri" w:eastAsia="Calibri" w:hAnsi="Calibri"/>
          <w:color w:val="1E293B"/>
          <w:sz w:val="22"/>
          <w:szCs w:val="22"/>
        </w:rPr>
        <w:t xml:space="preserve">Foundation Data — Locations (no dependencies).</w:t>
      </w:r>
    </w:p>
    <w:p>
      <w:pPr>
        <w:pStyle w:val="ListParagraph"/>
        <w:numPr>
          <w:ilvl w:val="0"/>
          <w:numId w:val="2"/>
        </w:numPr>
        <w:spacing w:after="60"/>
      </w:pPr>
      <w:r>
        <w:rPr>
          <w:rFonts w:ascii="Calibri" w:cs="Calibri" w:eastAsia="Calibri" w:hAnsi="Calibri"/>
          <w:color w:val="1E293B"/>
          <w:sz w:val="22"/>
          <w:szCs w:val="22"/>
        </w:rPr>
        <w:t xml:space="preserve">Foundation Data — Org Hierarchy (no dependencies).</w:t>
      </w:r>
    </w:p>
    <w:p>
      <w:pPr>
        <w:pStyle w:val="ListParagraph"/>
        <w:numPr>
          <w:ilvl w:val="0"/>
          <w:numId w:val="2"/>
        </w:numPr>
        <w:spacing w:after="60"/>
      </w:pPr>
      <w:r>
        <w:rPr>
          <w:rFonts w:ascii="Calibri" w:cs="Calibri" w:eastAsia="Calibri" w:hAnsi="Calibri"/>
          <w:color w:val="1E293B"/>
          <w:sz w:val="22"/>
          <w:szCs w:val="22"/>
        </w:rPr>
        <w:t xml:space="preserve">Foundation Data — Users (depends on Locations and Org Hierarchy).</w:t>
      </w:r>
    </w:p>
    <w:p>
      <w:pPr>
        <w:pStyle w:val="ListParagraph"/>
        <w:numPr>
          <w:ilvl w:val="0"/>
          <w:numId w:val="2"/>
        </w:numPr>
        <w:spacing w:after="60"/>
      </w:pPr>
      <w:r>
        <w:rPr>
          <w:rFonts w:ascii="Calibri" w:cs="Calibri" w:eastAsia="Calibri" w:hAnsi="Calibri"/>
          <w:color w:val="1E293B"/>
          <w:sz w:val="22"/>
          <w:szCs w:val="22"/>
        </w:rPr>
        <w:t xml:space="preserve">Foundation Data — Groups (depends on Users).</w:t>
      </w:r>
    </w:p>
    <w:p>
      <w:pPr>
        <w:pStyle w:val="ListParagraph"/>
        <w:numPr>
          <w:ilvl w:val="0"/>
          <w:numId w:val="2"/>
        </w:numPr>
        <w:spacing w:after="60"/>
      </w:pPr>
      <w:r>
        <w:rPr>
          <w:rFonts w:ascii="Calibri" w:cs="Calibri" w:eastAsia="Calibri" w:hAnsi="Calibri"/>
          <w:color w:val="1E293B"/>
          <w:sz w:val="22"/>
          <w:szCs w:val="22"/>
        </w:rPr>
        <w:t xml:space="preserve">Foundation Data — Schedules and SLAs (no dependencies on other Packs).</w:t>
      </w:r>
    </w:p>
    <w:p>
      <w:pPr>
        <w:pStyle w:val="ListParagraph"/>
        <w:numPr>
          <w:ilvl w:val="0"/>
          <w:numId w:val="2"/>
        </w:numPr>
        <w:spacing w:after="60"/>
      </w:pPr>
      <w:r>
        <w:rPr>
          <w:rFonts w:ascii="Calibri" w:cs="Calibri" w:eastAsia="Calibri" w:hAnsi="Calibri"/>
          <w:color w:val="1E293B"/>
          <w:sz w:val="22"/>
          <w:szCs w:val="22"/>
        </w:rPr>
        <w:t xml:space="preserve">Foundation Data — Assignment Rules (depends on Groups, Locations).</w:t>
      </w:r>
    </w:p>
    <w:p>
      <w:pPr>
        <w:pStyle w:val="ListParagraph"/>
        <w:numPr>
          <w:ilvl w:val="0"/>
          <w:numId w:val="2"/>
        </w:numPr>
        <w:spacing w:after="60"/>
      </w:pPr>
      <w:r>
        <w:rPr>
          <w:rFonts w:ascii="Calibri" w:cs="Calibri" w:eastAsia="Calibri" w:hAnsi="Calibri"/>
          <w:color w:val="1E293B"/>
          <w:sz w:val="22"/>
          <w:szCs w:val="22"/>
        </w:rPr>
        <w:t xml:space="preserve">Discovery and Service Graph Connectors (configured; CI population happens after this runs).</w:t>
      </w:r>
    </w:p>
    <w:p>
      <w:pPr>
        <w:pStyle w:val="ListParagraph"/>
        <w:numPr>
          <w:ilvl w:val="0"/>
          <w:numId w:val="2"/>
        </w:numPr>
        <w:spacing w:after="60"/>
      </w:pPr>
      <w:r>
        <w:rPr>
          <w:rFonts w:ascii="Calibri" w:cs="Calibri" w:eastAsia="Calibri" w:hAnsi="Calibri"/>
          <w:color w:val="1E293B"/>
          <w:sz w:val="22"/>
          <w:szCs w:val="22"/>
        </w:rPr>
        <w:t xml:space="preserve">CMDB / CSDM (foundation CIs first, then services and relationships).</w:t>
      </w:r>
    </w:p>
    <w:p>
      <w:pPr>
        <w:pStyle w:val="ListParagraph"/>
        <w:numPr>
          <w:ilvl w:val="0"/>
          <w:numId w:val="2"/>
        </w:numPr>
        <w:spacing w:after="60"/>
      </w:pPr>
      <w:r>
        <w:rPr>
          <w:rFonts w:ascii="Calibri" w:cs="Calibri" w:eastAsia="Calibri" w:hAnsi="Calibri"/>
          <w:color w:val="1E293B"/>
          <w:sz w:val="22"/>
          <w:szCs w:val="22"/>
        </w:rPr>
        <w:t xml:space="preserve">Service Catalog (depends on Groups for fulfillment routing).</w:t>
      </w:r>
    </w:p>
    <w:p>
      <w:pPr>
        <w:pStyle w:val="ListParagraph"/>
        <w:numPr>
          <w:ilvl w:val="0"/>
          <w:numId w:val="2"/>
        </w:numPr>
        <w:spacing w:after="60"/>
      </w:pPr>
      <w:r>
        <w:rPr>
          <w:rFonts w:ascii="Calibri" w:cs="Calibri" w:eastAsia="Calibri" w:hAnsi="Calibri"/>
          <w:color w:val="1E293B"/>
          <w:sz w:val="22"/>
          <w:szCs w:val="22"/>
        </w:rPr>
        <w:t xml:space="preserve">Knowledge Management (independent; can run in parallel with Catalog).</w:t>
      </w:r>
    </w:p>
    <w:p>
      <w:pPr>
        <w:pStyle w:val="ListParagraph"/>
        <w:numPr>
          <w:ilvl w:val="0"/>
          <w:numId w:val="2"/>
        </w:numPr>
        <w:spacing w:after="60"/>
      </w:pPr>
      <w:r>
        <w:rPr>
          <w:rFonts w:ascii="Calibri" w:cs="Calibri" w:eastAsia="Calibri" w:hAnsi="Calibri"/>
          <w:color w:val="1E293B"/>
          <w:sz w:val="22"/>
          <w:szCs w:val="22"/>
        </w:rPr>
        <w:t xml:space="preserve">Integrations / SSO (depends on Users).</w:t>
      </w:r>
    </w:p>
    <w:p>
      <w:pPr>
        <w:pStyle w:val="ListParagraph"/>
        <w:numPr>
          <w:ilvl w:val="0"/>
          <w:numId w:val="2"/>
        </w:numPr>
        <w:spacing w:after="60"/>
      </w:pPr>
      <w:r>
        <w:rPr>
          <w:rFonts w:ascii="Calibri" w:cs="Calibri" w:eastAsia="Calibri" w:hAnsi="Calibri"/>
          <w:color w:val="1E293B"/>
          <w:sz w:val="22"/>
          <w:szCs w:val="22"/>
        </w:rPr>
        <w:t xml:space="preserve">Process Tuning (depends on Groups, CMDB, Catalog).</w:t>
      </w:r>
    </w:p>
    <w:p>
      <w:pPr>
        <w:pStyle w:val="Heading2"/>
        <w:spacing w:after="120" w:before="240"/>
      </w:pPr>
      <w:r>
        <w:rPr>
          <w:rFonts w:ascii="Calibri" w:cs="Calibri" w:eastAsia="Calibri" w:hAnsi="Calibri"/>
          <w:b/>
          <w:bCs/>
          <w:color w:val="0B1F3A"/>
          <w:sz w:val="26"/>
          <w:szCs w:val="26"/>
        </w:rPr>
        <w:t xml:space="preserve">5.3  Common Import Errors and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240"/>
        <w:gridCol w:w="3600"/>
      </w:tblGrid>
      <w:tr>
        <w:trPr>
          <w:tblHeader/>
        </w:trPr>
        <w:tc>
          <w:tcPr>
            <w:tcBorders>
              <w:top w:val="single" w:color="E2E8F0" w:sz="4"/>
              <w:left w:val="single" w:color="E2E8F0" w:sz="4"/>
              <w:bottom w:val="single" w:color="E2E8F0" w:sz="4"/>
              <w:right w:val="single" w:color="E2E8F0" w:sz="4"/>
            </w:tcBorders>
            <w:shd w:fill="0B1F3A" w:val="clear"/>
            <w:tcMar>
              <w:top w:type="dxa" w:w="120"/>
              <w:left w:type="dxa" w:w="160"/>
              <w:bottom w:type="dxa" w:w="120"/>
              <w:right w:type="dxa" w:w="160"/>
            </w:tcMar>
          </w:tcPr>
          <w:p>
            <w:r>
              <w:rPr>
                <w:rFonts w:ascii="Calibri" w:cs="Calibri" w:eastAsia="Calibri" w:hAnsi="Calibri"/>
                <w:b/>
                <w:bCs/>
                <w:color w:val="FFFFFF"/>
                <w:sz w:val="22"/>
                <w:szCs w:val="22"/>
              </w:rPr>
              <w:t xml:space="preserve">Error Pattern</w:t>
            </w:r>
          </w:p>
        </w:tc>
        <w:tc>
          <w:tcPr>
            <w:tcBorders>
              <w:top w:val="single" w:color="E2E8F0" w:sz="4"/>
              <w:left w:val="single" w:color="E2E8F0" w:sz="4"/>
              <w:bottom w:val="single" w:color="E2E8F0" w:sz="4"/>
              <w:right w:val="single" w:color="E2E8F0" w:sz="4"/>
            </w:tcBorders>
            <w:shd w:fill="0B1F3A" w:val="clear"/>
            <w:tcMar>
              <w:top w:type="dxa" w:w="120"/>
              <w:left w:type="dxa" w:w="160"/>
              <w:bottom w:type="dxa" w:w="120"/>
              <w:right w:type="dxa" w:w="160"/>
            </w:tcMar>
          </w:tcPr>
          <w:p>
            <w:r>
              <w:rPr>
                <w:rFonts w:ascii="Calibri" w:cs="Calibri" w:eastAsia="Calibri" w:hAnsi="Calibri"/>
                <w:b/>
                <w:bCs/>
                <w:color w:val="FFFFFF"/>
                <w:sz w:val="22"/>
                <w:szCs w:val="22"/>
              </w:rPr>
              <w:t xml:space="preserve">Root Cause</w:t>
            </w:r>
          </w:p>
        </w:tc>
        <w:tc>
          <w:tcPr>
            <w:tcBorders>
              <w:top w:val="single" w:color="E2E8F0" w:sz="4"/>
              <w:left w:val="single" w:color="E2E8F0" w:sz="4"/>
              <w:bottom w:val="single" w:color="E2E8F0" w:sz="4"/>
              <w:right w:val="single" w:color="E2E8F0" w:sz="4"/>
            </w:tcBorders>
            <w:shd w:fill="0B1F3A" w:val="clear"/>
            <w:tcMar>
              <w:top w:type="dxa" w:w="120"/>
              <w:left w:type="dxa" w:w="160"/>
              <w:bottom w:type="dxa" w:w="120"/>
              <w:right w:type="dxa" w:w="160"/>
            </w:tcMar>
          </w:tcPr>
          <w:p>
            <w:r>
              <w:rPr>
                <w:rFonts w:ascii="Calibri" w:cs="Calibri" w:eastAsia="Calibri" w:hAnsi="Calibri"/>
                <w:b/>
                <w:bCs/>
                <w:color w:val="FFFFFF"/>
                <w:sz w:val="22"/>
                <w:szCs w:val="22"/>
              </w:rPr>
              <w:t xml:space="preserve">Recovery</w:t>
            </w:r>
          </w:p>
        </w:tc>
      </w:tr>
      <w:tr>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Reference field unmatched</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Foreign-key target does not yet exist (e.g., User imported before Location)</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Re-run Pack imports in correct order; do not manually patch references</w:t>
            </w:r>
          </w:p>
        </w:tc>
      </w:tr>
      <w:tr>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Duplicate key error during transform</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Workbook contains duplicates that validation missed, or prior import left data partially loaded</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Truncate target table in sub-prod; re-import full Pack</w:t>
            </w:r>
          </w:p>
        </w:tc>
      </w:tr>
      <w:tr>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Field-length truncation warnings</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Customer data exceeds OOTB field max length</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Either truncate at source (in workbook) or document field-length increase as an OOTB-allowed configuration</w:t>
            </w:r>
          </w:p>
        </w:tc>
      </w:tr>
      <w:tr>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Missing scope assignment</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Update Set does not have correct application scope</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Reset scope; re-run import</w:t>
            </w:r>
          </w:p>
        </w:tc>
      </w:tr>
      <w:tr>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Orphaned records after transform</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Source rows had reference values that resolved to inactive or deleted records</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Validation rules updated; workbook returned to customer</w:t>
            </w:r>
          </w:p>
        </w:tc>
      </w:tr>
    </w:tbl>
    <w:p>
      <w:r>
        <w:br w:type="page"/>
      </w:r>
    </w:p>
    <w:p>
      <w:pPr>
        <w:pStyle w:val="Heading1"/>
        <w:spacing w:after="180" w:before="360"/>
      </w:pPr>
      <w:r>
        <w:rPr>
          <w:rFonts w:ascii="Calibri" w:cs="Calibri" w:eastAsia="Calibri" w:hAnsi="Calibri"/>
          <w:b/>
          <w:bCs/>
          <w:color w:val="0B1F3A"/>
          <w:sz w:val="32"/>
          <w:szCs w:val="32"/>
        </w:rPr>
        <w:t xml:space="preserve">6.  Quality Gates</w:t>
      </w:r>
    </w:p>
    <w:p>
      <w:pPr>
        <w:spacing w:after="120"/>
      </w:pPr>
      <w:r>
        <w:rPr>
          <w:rFonts w:ascii="Calibri" w:cs="Calibri" w:eastAsia="Calibri" w:hAnsi="Calibri"/>
          <w:color w:val="1E293B"/>
          <w:sz w:val="22"/>
          <w:szCs w:val="22"/>
        </w:rPr>
        <w:t xml:space="preserve">A Pack moves through three quality gates from initial template to imported data. Each gate has explicit pass/fail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20"/>
        <w:gridCol w:w="2160"/>
        <w:gridCol w:w="3240"/>
        <w:gridCol w:w="2340"/>
      </w:tblGrid>
      <w:tr>
        <w:trPr>
          <w:tblHeader/>
        </w:trPr>
        <w:tc>
          <w:tcPr>
            <w:tcBorders>
              <w:top w:val="single" w:color="E2E8F0" w:sz="4"/>
              <w:left w:val="single" w:color="E2E8F0" w:sz="4"/>
              <w:bottom w:val="single" w:color="E2E8F0" w:sz="4"/>
              <w:right w:val="single" w:color="E2E8F0" w:sz="4"/>
            </w:tcBorders>
            <w:shd w:fill="0B1F3A" w:val="clear"/>
            <w:tcMar>
              <w:top w:type="dxa" w:w="120"/>
              <w:left w:type="dxa" w:w="160"/>
              <w:bottom w:type="dxa" w:w="120"/>
              <w:right w:type="dxa" w:w="160"/>
            </w:tcMar>
          </w:tcPr>
          <w:p>
            <w:r>
              <w:rPr>
                <w:rFonts w:ascii="Calibri" w:cs="Calibri" w:eastAsia="Calibri" w:hAnsi="Calibri"/>
                <w:b/>
                <w:bCs/>
                <w:color w:val="FFFFFF"/>
                <w:sz w:val="22"/>
                <w:szCs w:val="22"/>
              </w:rPr>
              <w:t xml:space="preserve">Gate</w:t>
            </w:r>
          </w:p>
        </w:tc>
        <w:tc>
          <w:tcPr>
            <w:tcBorders>
              <w:top w:val="single" w:color="E2E8F0" w:sz="4"/>
              <w:left w:val="single" w:color="E2E8F0" w:sz="4"/>
              <w:bottom w:val="single" w:color="E2E8F0" w:sz="4"/>
              <w:right w:val="single" w:color="E2E8F0" w:sz="4"/>
            </w:tcBorders>
            <w:shd w:fill="0B1F3A" w:val="clear"/>
            <w:tcMar>
              <w:top w:type="dxa" w:w="120"/>
              <w:left w:type="dxa" w:w="160"/>
              <w:bottom w:type="dxa" w:w="120"/>
              <w:right w:type="dxa" w:w="160"/>
            </w:tcMar>
          </w:tcPr>
          <w:p>
            <w:r>
              <w:rPr>
                <w:rFonts w:ascii="Calibri" w:cs="Calibri" w:eastAsia="Calibri" w:hAnsi="Calibri"/>
                <w:b/>
                <w:bCs/>
                <w:color w:val="FFFFFF"/>
                <w:sz w:val="22"/>
                <w:szCs w:val="22"/>
              </w:rPr>
              <w:t xml:space="preserve">When</w:t>
            </w:r>
          </w:p>
        </w:tc>
        <w:tc>
          <w:tcPr>
            <w:tcBorders>
              <w:top w:val="single" w:color="E2E8F0" w:sz="4"/>
              <w:left w:val="single" w:color="E2E8F0" w:sz="4"/>
              <w:bottom w:val="single" w:color="E2E8F0" w:sz="4"/>
              <w:right w:val="single" w:color="E2E8F0" w:sz="4"/>
            </w:tcBorders>
            <w:shd w:fill="0B1F3A" w:val="clear"/>
            <w:tcMar>
              <w:top w:type="dxa" w:w="120"/>
              <w:left w:type="dxa" w:w="160"/>
              <w:bottom w:type="dxa" w:w="120"/>
              <w:right w:type="dxa" w:w="160"/>
            </w:tcMar>
          </w:tcPr>
          <w:p>
            <w:r>
              <w:rPr>
                <w:rFonts w:ascii="Calibri" w:cs="Calibri" w:eastAsia="Calibri" w:hAnsi="Calibri"/>
                <w:b/>
                <w:bCs/>
                <w:color w:val="FFFFFF"/>
                <w:sz w:val="22"/>
                <w:szCs w:val="22"/>
              </w:rPr>
              <w:t xml:space="preserve">Pass Criteria</w:t>
            </w:r>
          </w:p>
        </w:tc>
        <w:tc>
          <w:tcPr>
            <w:tcBorders>
              <w:top w:val="single" w:color="E2E8F0" w:sz="4"/>
              <w:left w:val="single" w:color="E2E8F0" w:sz="4"/>
              <w:bottom w:val="single" w:color="E2E8F0" w:sz="4"/>
              <w:right w:val="single" w:color="E2E8F0" w:sz="4"/>
            </w:tcBorders>
            <w:shd w:fill="0B1F3A" w:val="clear"/>
            <w:tcMar>
              <w:top w:type="dxa" w:w="120"/>
              <w:left w:type="dxa" w:w="160"/>
              <w:bottom w:type="dxa" w:w="120"/>
              <w:right w:type="dxa" w:w="160"/>
            </w:tcMar>
          </w:tcPr>
          <w:p>
            <w:r>
              <w:rPr>
                <w:rFonts w:ascii="Calibri" w:cs="Calibri" w:eastAsia="Calibri" w:hAnsi="Calibri"/>
                <w:b/>
                <w:bCs/>
                <w:color w:val="FFFFFF"/>
                <w:sz w:val="22"/>
                <w:szCs w:val="22"/>
              </w:rPr>
              <w:t xml:space="preserve">Fail Action</w:t>
            </w:r>
          </w:p>
        </w:tc>
      </w:tr>
      <w:tr>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Gate 1 — Template Ready</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Before customer receives the Pack</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All workbook tabs structured; instructions complete; field-by-field guide present; locked structure; named ECS contact assigned</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Pack returned to builder; do not deliver to customer</w:t>
            </w:r>
          </w:p>
        </w:tc>
      </w:tr>
      <w:tr>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Gate 2 — Customer Validated</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After customer submits, before import</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Universal validation rules pass with zero Errors; workstream-specific rules pass with zero critical Errors; row counts plausible</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Workbook returned to customer with Error list</w:t>
            </w:r>
          </w:p>
        </w:tc>
      </w:tr>
      <w:tr>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Gate 3 — Imported Successfully</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After import to sub-prod</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Smoke test passes; record counts match workbook; reference integrity intact; no orphaned records; Update Set captures all changes</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Update Set reverted; root cause logged; Pack re-validated</w:t>
            </w:r>
          </w:p>
        </w:tc>
      </w:tr>
    </w:tbl>
    <w:p>
      <w:pPr>
        <w:pStyle w:val="Heading2"/>
        <w:spacing w:after="120" w:before="240"/>
      </w:pPr>
      <w:r>
        <w:rPr>
          <w:rFonts w:ascii="Calibri" w:cs="Calibri" w:eastAsia="Calibri" w:hAnsi="Calibri"/>
          <w:b/>
          <w:bCs/>
          <w:color w:val="0B1F3A"/>
          <w:sz w:val="26"/>
          <w:szCs w:val="26"/>
        </w:rPr>
        <w:t xml:space="preserve">6.1  What 'Good' Looks Like</w:t>
      </w:r>
    </w:p>
    <w:p>
      <w:pPr>
        <w:spacing w:after="120"/>
      </w:pPr>
      <w:r>
        <w:rPr>
          <w:rFonts w:ascii="Calibri" w:cs="Calibri" w:eastAsia="Calibri" w:hAnsi="Calibri"/>
          <w:color w:val="1E293B"/>
          <w:sz w:val="22"/>
          <w:szCs w:val="22"/>
        </w:rPr>
        <w:t xml:space="preserve">A well-built Pack has the following observable characteristics:</w:t>
      </w:r>
    </w:p>
    <w:p>
      <w:pPr>
        <w:pStyle w:val="ListParagraph"/>
        <w:numPr>
          <w:ilvl w:val="0"/>
          <w:numId w:val="3"/>
        </w:numPr>
        <w:spacing w:after="60"/>
      </w:pPr>
      <w:r>
        <w:rPr>
          <w:rFonts w:ascii="Calibri" w:cs="Calibri" w:eastAsia="Calibri" w:hAnsi="Calibri"/>
          <w:color w:val="1E293B"/>
          <w:sz w:val="22"/>
          <w:szCs w:val="22"/>
        </w:rPr>
        <w:t xml:space="preserve">Customer SME can complete the workbook without contacting ECS more than 2–3 times for clarification.</w:t>
      </w:r>
    </w:p>
    <w:p>
      <w:pPr>
        <w:pStyle w:val="ListParagraph"/>
        <w:numPr>
          <w:ilvl w:val="0"/>
          <w:numId w:val="3"/>
        </w:numPr>
        <w:spacing w:after="60"/>
      </w:pPr>
      <w:r>
        <w:rPr>
          <w:rFonts w:ascii="Calibri" w:cs="Calibri" w:eastAsia="Calibri" w:hAnsi="Calibri"/>
          <w:color w:val="1E293B"/>
          <w:sz w:val="22"/>
          <w:szCs w:val="22"/>
        </w:rPr>
        <w:t xml:space="preserve">Validation produces zero Errors on first submission for ≥80% of customer-completed workbooks.</w:t>
      </w:r>
    </w:p>
    <w:p>
      <w:pPr>
        <w:pStyle w:val="ListParagraph"/>
        <w:numPr>
          <w:ilvl w:val="0"/>
          <w:numId w:val="3"/>
        </w:numPr>
        <w:spacing w:after="60"/>
      </w:pPr>
      <w:r>
        <w:rPr>
          <w:rFonts w:ascii="Calibri" w:cs="Calibri" w:eastAsia="Calibri" w:hAnsi="Calibri"/>
          <w:color w:val="1E293B"/>
          <w:sz w:val="22"/>
          <w:szCs w:val="22"/>
        </w:rPr>
        <w:t xml:space="preserve">Import to sub-prod runs in under 30 minutes per workbook with no manual intervention.</w:t>
      </w:r>
    </w:p>
    <w:p>
      <w:pPr>
        <w:pStyle w:val="ListParagraph"/>
        <w:numPr>
          <w:ilvl w:val="0"/>
          <w:numId w:val="3"/>
        </w:numPr>
        <w:spacing w:after="60"/>
      </w:pPr>
      <w:r>
        <w:rPr>
          <w:rFonts w:ascii="Calibri" w:cs="Calibri" w:eastAsia="Calibri" w:hAnsi="Calibri"/>
          <w:color w:val="1E293B"/>
          <w:sz w:val="22"/>
          <w:szCs w:val="22"/>
        </w:rPr>
        <w:t xml:space="preserve">Smoke test passes on first attempt for ≥90% of Pack imports.</w:t>
      </w:r>
    </w:p>
    <w:p>
      <w:pPr>
        <w:pStyle w:val="ListParagraph"/>
        <w:numPr>
          <w:ilvl w:val="0"/>
          <w:numId w:val="3"/>
        </w:numPr>
        <w:spacing w:after="60"/>
      </w:pPr>
      <w:r>
        <w:rPr>
          <w:rFonts w:ascii="Calibri" w:cs="Calibri" w:eastAsia="Calibri" w:hAnsi="Calibri"/>
          <w:color w:val="1E293B"/>
          <w:sz w:val="22"/>
          <w:szCs w:val="22"/>
        </w:rPr>
        <w:t xml:space="preserve">The Update Set produced is clean, scoped, and ready for promotion without rework.</w:t>
      </w:r>
    </w:p>
    <w:p>
      <w:pPr>
        <w:pStyle w:val="Heading2"/>
        <w:spacing w:after="120" w:before="240"/>
      </w:pPr>
      <w:r>
        <w:rPr>
          <w:rFonts w:ascii="Calibri" w:cs="Calibri" w:eastAsia="Calibri" w:hAnsi="Calibri"/>
          <w:b/>
          <w:bCs/>
          <w:color w:val="0B1F3A"/>
          <w:sz w:val="26"/>
          <w:szCs w:val="26"/>
        </w:rPr>
        <w:t xml:space="preserve">6.2  What 'Bad' Looks Like</w:t>
      </w:r>
    </w:p>
    <w:p>
      <w:pPr>
        <w:pStyle w:val="ListParagraph"/>
        <w:numPr>
          <w:ilvl w:val="0"/>
          <w:numId w:val="3"/>
        </w:numPr>
        <w:spacing w:after="60"/>
      </w:pPr>
      <w:r>
        <w:rPr>
          <w:rFonts w:ascii="Calibri" w:cs="Calibri" w:eastAsia="Calibri" w:hAnsi="Calibri"/>
          <w:color w:val="1E293B"/>
          <w:sz w:val="22"/>
          <w:szCs w:val="22"/>
        </w:rPr>
        <w:t xml:space="preserve">Customer asks 10+ questions about a single workbook (instructions are unclear).</w:t>
      </w:r>
    </w:p>
    <w:p>
      <w:pPr>
        <w:pStyle w:val="ListParagraph"/>
        <w:numPr>
          <w:ilvl w:val="0"/>
          <w:numId w:val="3"/>
        </w:numPr>
        <w:spacing w:after="60"/>
      </w:pPr>
      <w:r>
        <w:rPr>
          <w:rFonts w:ascii="Calibri" w:cs="Calibri" w:eastAsia="Calibri" w:hAnsi="Calibri"/>
          <w:color w:val="1E293B"/>
          <w:sz w:val="22"/>
          <w:szCs w:val="22"/>
        </w:rPr>
        <w:t xml:space="preserve">Validation produces Errors that the validation script could have caught earlier (validation rules are incomplete).</w:t>
      </w:r>
    </w:p>
    <w:p>
      <w:pPr>
        <w:pStyle w:val="ListParagraph"/>
        <w:numPr>
          <w:ilvl w:val="0"/>
          <w:numId w:val="3"/>
        </w:numPr>
        <w:spacing w:after="60"/>
      </w:pPr>
      <w:r>
        <w:rPr>
          <w:rFonts w:ascii="Calibri" w:cs="Calibri" w:eastAsia="Calibri" w:hAnsi="Calibri"/>
          <w:color w:val="1E293B"/>
          <w:sz w:val="22"/>
          <w:szCs w:val="22"/>
        </w:rPr>
        <w:t xml:space="preserve">Manual SQL or scripted patches are needed during import (Pack pipeline is broken).</w:t>
      </w:r>
    </w:p>
    <w:p>
      <w:pPr>
        <w:pStyle w:val="ListParagraph"/>
        <w:numPr>
          <w:ilvl w:val="0"/>
          <w:numId w:val="3"/>
        </w:numPr>
        <w:spacing w:after="60"/>
      </w:pPr>
      <w:r>
        <w:rPr>
          <w:rFonts w:ascii="Calibri" w:cs="Calibri" w:eastAsia="Calibri" w:hAnsi="Calibri"/>
          <w:color w:val="1E293B"/>
          <w:sz w:val="22"/>
          <w:szCs w:val="22"/>
        </w:rPr>
        <w:t xml:space="preserve">Imported records require re-work in sub-prod before they can be used (data model mismatch).</w:t>
      </w:r>
    </w:p>
    <w:p>
      <w:pPr>
        <w:pStyle w:val="ListParagraph"/>
        <w:numPr>
          <w:ilvl w:val="0"/>
          <w:numId w:val="3"/>
        </w:numPr>
        <w:spacing w:after="60"/>
      </w:pPr>
      <w:r>
        <w:rPr>
          <w:rFonts w:ascii="Calibri" w:cs="Calibri" w:eastAsia="Calibri" w:hAnsi="Calibri"/>
          <w:color w:val="1E293B"/>
          <w:sz w:val="22"/>
          <w:szCs w:val="22"/>
        </w:rPr>
        <w:t xml:space="preserve">Update Set has uncategorized changes or unrelated artifacts (scope discipline is broken).</w:t>
      </w:r>
    </w:p>
    <w:p>
      <w:r>
        <w:br w:type="page"/>
      </w:r>
    </w:p>
    <w:p>
      <w:pPr>
        <w:pStyle w:val="Heading1"/>
        <w:spacing w:after="180" w:before="360"/>
      </w:pPr>
      <w:r>
        <w:rPr>
          <w:rFonts w:ascii="Calibri" w:cs="Calibri" w:eastAsia="Calibri" w:hAnsi="Calibri"/>
          <w:b/>
          <w:bCs/>
          <w:color w:val="0B1F3A"/>
          <w:sz w:val="32"/>
          <w:szCs w:val="32"/>
        </w:rPr>
        <w:t xml:space="preserve">7.  Pack Evolution and Reuse</w:t>
      </w:r>
    </w:p>
    <w:p>
      <w:pPr>
        <w:pStyle w:val="Heading2"/>
        <w:spacing w:after="120" w:before="240"/>
      </w:pPr>
      <w:r>
        <w:rPr>
          <w:rFonts w:ascii="Calibri" w:cs="Calibri" w:eastAsia="Calibri" w:hAnsi="Calibri"/>
          <w:b/>
          <w:bCs/>
          <w:color w:val="0B1F3A"/>
          <w:sz w:val="26"/>
          <w:szCs w:val="26"/>
        </w:rPr>
        <w:t xml:space="preserve">7.1  Versioning</w:t>
      </w:r>
    </w:p>
    <w:p>
      <w:pPr>
        <w:spacing w:after="120"/>
      </w:pPr>
      <w:r>
        <w:rPr>
          <w:rFonts w:ascii="Calibri" w:cs="Calibri" w:eastAsia="Calibri" w:hAnsi="Calibri"/>
          <w:color w:val="1E293B"/>
          <w:sz w:val="22"/>
          <w:szCs w:val="22"/>
        </w:rPr>
        <w:t xml:space="preserve">The practice maintains a single canonical Pack library, versioned semantically:</w:t>
      </w:r>
    </w:p>
    <w:p>
      <w:pPr>
        <w:pStyle w:val="ListParagraph"/>
        <w:numPr>
          <w:ilvl w:val="0"/>
          <w:numId w:val="3"/>
        </w:numPr>
        <w:spacing w:after="60"/>
      </w:pPr>
      <w:r>
        <w:rPr>
          <w:rFonts w:ascii="Calibri" w:cs="Calibri" w:eastAsia="Calibri" w:hAnsi="Calibri"/>
          <w:color w:val="1E293B"/>
          <w:sz w:val="22"/>
          <w:szCs w:val="22"/>
        </w:rPr>
        <w:t xml:space="preserve">Major version (X.0.0): structural changes — new tabs added, schema changes that break customer compatibility. Bumped at most once per year.</w:t>
      </w:r>
    </w:p>
    <w:p>
      <w:pPr>
        <w:pStyle w:val="ListParagraph"/>
        <w:numPr>
          <w:ilvl w:val="0"/>
          <w:numId w:val="3"/>
        </w:numPr>
        <w:spacing w:after="60"/>
      </w:pPr>
      <w:r>
        <w:rPr>
          <w:rFonts w:ascii="Calibri" w:cs="Calibri" w:eastAsia="Calibri" w:hAnsi="Calibri"/>
          <w:color w:val="1E293B"/>
          <w:sz w:val="22"/>
          <w:szCs w:val="22"/>
        </w:rPr>
        <w:t xml:space="preserve">Minor version (X.Y.0): new workstream packs added, new validation rules introduced, instruction improvements. Bumped per quarter.</w:t>
      </w:r>
    </w:p>
    <w:p>
      <w:pPr>
        <w:pStyle w:val="ListParagraph"/>
        <w:numPr>
          <w:ilvl w:val="0"/>
          <w:numId w:val="3"/>
        </w:numPr>
        <w:spacing w:after="60"/>
      </w:pPr>
      <w:r>
        <w:rPr>
          <w:rFonts w:ascii="Calibri" w:cs="Calibri" w:eastAsia="Calibri" w:hAnsi="Calibri"/>
          <w:color w:val="1E293B"/>
          <w:sz w:val="22"/>
          <w:szCs w:val="22"/>
        </w:rPr>
        <w:t xml:space="preserve">Patch (X.Y.Z): bug fixes, instruction wording improvements, validation rule corrections. Bumped as needed.</w:t>
      </w:r>
    </w:p>
    <w:p>
      <w:pPr>
        <w:spacing w:after="120"/>
      </w:pPr>
      <w:r>
        <w:rPr>
          <w:rFonts w:ascii="Calibri" w:cs="Calibri" w:eastAsia="Calibri" w:hAnsi="Calibri"/>
          <w:color w:val="1E293B"/>
          <w:sz w:val="22"/>
          <w:szCs w:val="22"/>
        </w:rPr>
        <w:t xml:space="preserve">Each engagement starts with the latest available version. The version used for an engagement is recorded in the engagement's Governance Triage Log.</w:t>
      </w:r>
    </w:p>
    <w:p>
      <w:pPr>
        <w:pStyle w:val="Heading2"/>
        <w:spacing w:after="120" w:before="240"/>
      </w:pPr>
      <w:r>
        <w:rPr>
          <w:rFonts w:ascii="Calibri" w:cs="Calibri" w:eastAsia="Calibri" w:hAnsi="Calibri"/>
          <w:b/>
          <w:bCs/>
          <w:color w:val="0B1F3A"/>
          <w:sz w:val="26"/>
          <w:szCs w:val="26"/>
        </w:rPr>
        <w:t xml:space="preserve">7.2  Industry-Specific Variants</w:t>
      </w:r>
    </w:p>
    <w:p>
      <w:pPr>
        <w:spacing w:after="120"/>
      </w:pPr>
      <w:r>
        <w:rPr>
          <w:rFonts w:ascii="Calibri" w:cs="Calibri" w:eastAsia="Calibri" w:hAnsi="Calibri"/>
          <w:color w:val="1E293B"/>
          <w:sz w:val="22"/>
          <w:szCs w:val="22"/>
        </w:rPr>
        <w:t xml:space="preserve">Some workbook content varies meaningfully by industry. Maintain industry variants in the library where the variation is structural:</w:t>
      </w:r>
    </w:p>
    <w:p>
      <w:pPr>
        <w:pStyle w:val="ListParagraph"/>
        <w:numPr>
          <w:ilvl w:val="0"/>
          <w:numId w:val="3"/>
        </w:numPr>
        <w:spacing w:after="60"/>
      </w:pPr>
      <w:r>
        <w:rPr>
          <w:rFonts w:ascii="Calibri" w:cs="Calibri" w:eastAsia="Calibri" w:hAnsi="Calibri"/>
          <w:color w:val="1E293B"/>
          <w:sz w:val="22"/>
          <w:szCs w:val="22"/>
        </w:rPr>
        <w:t xml:space="preserve">Federal: variants for FedRAMP, ATO documentation, security categorization, FISMA controls reference.</w:t>
      </w:r>
    </w:p>
    <w:p>
      <w:pPr>
        <w:pStyle w:val="ListParagraph"/>
        <w:numPr>
          <w:ilvl w:val="0"/>
          <w:numId w:val="3"/>
        </w:numPr>
        <w:spacing w:after="60"/>
      </w:pPr>
      <w:r>
        <w:rPr>
          <w:rFonts w:ascii="Calibri" w:cs="Calibri" w:eastAsia="Calibri" w:hAnsi="Calibri"/>
          <w:color w:val="1E293B"/>
          <w:sz w:val="22"/>
          <w:szCs w:val="22"/>
        </w:rPr>
        <w:t xml:space="preserve">Higher Education: variants for student/staff/faculty user populations, term-based scheduling, FERPA-relevant audience scoping.</w:t>
      </w:r>
    </w:p>
    <w:p>
      <w:pPr>
        <w:pStyle w:val="ListParagraph"/>
        <w:numPr>
          <w:ilvl w:val="0"/>
          <w:numId w:val="3"/>
        </w:numPr>
        <w:spacing w:after="60"/>
      </w:pPr>
      <w:r>
        <w:rPr>
          <w:rFonts w:ascii="Calibri" w:cs="Calibri" w:eastAsia="Calibri" w:hAnsi="Calibri"/>
          <w:color w:val="1E293B"/>
          <w:sz w:val="22"/>
          <w:szCs w:val="22"/>
        </w:rPr>
        <w:t xml:space="preserve">Healthcare: variants for HIPAA-relevant data handling, clinical service taxonomy, on-call schedules with clinical specialties.</w:t>
      </w:r>
    </w:p>
    <w:p>
      <w:pPr>
        <w:pStyle w:val="ListParagraph"/>
        <w:numPr>
          <w:ilvl w:val="0"/>
          <w:numId w:val="3"/>
        </w:numPr>
        <w:spacing w:after="60"/>
      </w:pPr>
      <w:r>
        <w:rPr>
          <w:rFonts w:ascii="Calibri" w:cs="Calibri" w:eastAsia="Calibri" w:hAnsi="Calibri"/>
          <w:color w:val="1E293B"/>
          <w:sz w:val="22"/>
          <w:szCs w:val="22"/>
        </w:rPr>
        <w:t xml:space="preserve">Financial Services: variants for change-management controls aligned to SOX and PCI, segregation of duties in approval routing.</w:t>
      </w:r>
    </w:p>
    <w:p>
      <w:pPr>
        <w:pStyle w:val="Heading2"/>
        <w:spacing w:after="120" w:before="240"/>
      </w:pPr>
      <w:r>
        <w:rPr>
          <w:rFonts w:ascii="Calibri" w:cs="Calibri" w:eastAsia="Calibri" w:hAnsi="Calibri"/>
          <w:b/>
          <w:bCs/>
          <w:color w:val="0B1F3A"/>
          <w:sz w:val="26"/>
          <w:szCs w:val="26"/>
        </w:rPr>
        <w:t xml:space="preserve">7.3  Engagement Feedback Loop</w:t>
      </w:r>
    </w:p>
    <w:p>
      <w:pPr>
        <w:spacing w:after="120"/>
      </w:pPr>
      <w:r>
        <w:rPr>
          <w:rFonts w:ascii="Calibri" w:cs="Calibri" w:eastAsia="Calibri" w:hAnsi="Calibri"/>
          <w:color w:val="1E293B"/>
          <w:sz w:val="22"/>
          <w:szCs w:val="22"/>
        </w:rPr>
        <w:t xml:space="preserve">Every engagement closes with a Pack feedback debrief contributing back to the library:</w:t>
      </w:r>
    </w:p>
    <w:p>
      <w:pPr>
        <w:pStyle w:val="ListParagraph"/>
        <w:numPr>
          <w:ilvl w:val="0"/>
          <w:numId w:val="2"/>
        </w:numPr>
        <w:spacing w:after="60"/>
      </w:pPr>
      <w:r>
        <w:rPr>
          <w:rFonts w:ascii="Calibri" w:cs="Calibri" w:eastAsia="Calibri" w:hAnsi="Calibri"/>
          <w:color w:val="1E293B"/>
          <w:sz w:val="22"/>
          <w:szCs w:val="22"/>
        </w:rPr>
        <w:t xml:space="preserve">Solution Architect documents what worked and what didn't with each Pack used.</w:t>
      </w:r>
    </w:p>
    <w:p>
      <w:pPr>
        <w:pStyle w:val="ListParagraph"/>
        <w:numPr>
          <w:ilvl w:val="0"/>
          <w:numId w:val="2"/>
        </w:numPr>
        <w:spacing w:after="60"/>
      </w:pPr>
      <w:r>
        <w:rPr>
          <w:rFonts w:ascii="Calibri" w:cs="Calibri" w:eastAsia="Calibri" w:hAnsi="Calibri"/>
          <w:color w:val="1E293B"/>
          <w:sz w:val="22"/>
          <w:szCs w:val="22"/>
        </w:rPr>
        <w:t xml:space="preserve">Customer feedback on the workbook instructions is captured (5-question survey).</w:t>
      </w:r>
    </w:p>
    <w:p>
      <w:pPr>
        <w:pStyle w:val="ListParagraph"/>
        <w:numPr>
          <w:ilvl w:val="0"/>
          <w:numId w:val="2"/>
        </w:numPr>
        <w:spacing w:after="60"/>
      </w:pPr>
      <w:r>
        <w:rPr>
          <w:rFonts w:ascii="Calibri" w:cs="Calibri" w:eastAsia="Calibri" w:hAnsi="Calibri"/>
          <w:color w:val="1E293B"/>
          <w:sz w:val="22"/>
          <w:szCs w:val="22"/>
        </w:rPr>
        <w:t xml:space="preserve">Validation Errors that recurred more than twice during the engagement are added to the validation rule library.</w:t>
      </w:r>
    </w:p>
    <w:p>
      <w:pPr>
        <w:pStyle w:val="ListParagraph"/>
        <w:numPr>
          <w:ilvl w:val="0"/>
          <w:numId w:val="2"/>
        </w:numPr>
        <w:spacing w:after="60"/>
      </w:pPr>
      <w:r>
        <w:rPr>
          <w:rFonts w:ascii="Calibri" w:cs="Calibri" w:eastAsia="Calibri" w:hAnsi="Calibri"/>
          <w:color w:val="1E293B"/>
          <w:sz w:val="22"/>
          <w:szCs w:val="22"/>
        </w:rPr>
        <w:t xml:space="preserve">Customer questions that came up more than twice get added to the FAQ in the relevant workbook.</w:t>
      </w:r>
    </w:p>
    <w:p>
      <w:pPr>
        <w:pStyle w:val="ListParagraph"/>
        <w:numPr>
          <w:ilvl w:val="0"/>
          <w:numId w:val="2"/>
        </w:numPr>
        <w:spacing w:after="60"/>
      </w:pPr>
      <w:r>
        <w:rPr>
          <w:rFonts w:ascii="Calibri" w:cs="Calibri" w:eastAsia="Calibri" w:hAnsi="Calibri"/>
          <w:color w:val="1E293B"/>
          <w:sz w:val="22"/>
          <w:szCs w:val="22"/>
        </w:rPr>
        <w:t xml:space="preserve">Pack version bump (patch or minor) is proposed by the Solution Architect and approved by the Practice Lead.</w:t>
      </w:r>
    </w:p>
    <w:p>
      <w:pPr>
        <w:pStyle w:val="Heading2"/>
        <w:spacing w:after="120" w:before="240"/>
      </w:pPr>
      <w:r>
        <w:rPr>
          <w:rFonts w:ascii="Calibri" w:cs="Calibri" w:eastAsia="Calibri" w:hAnsi="Calibri"/>
          <w:b/>
          <w:bCs/>
          <w:color w:val="0B1F3A"/>
          <w:sz w:val="26"/>
          <w:szCs w:val="26"/>
        </w:rPr>
        <w:t xml:space="preserve">7.4  Quarterly Pack Library Review</w:t>
      </w:r>
    </w:p>
    <w:p>
      <w:pPr>
        <w:spacing w:after="120"/>
      </w:pPr>
      <w:r>
        <w:rPr>
          <w:rFonts w:ascii="Calibri" w:cs="Calibri" w:eastAsia="Calibri" w:hAnsi="Calibri"/>
          <w:color w:val="1E293B"/>
          <w:sz w:val="22"/>
          <w:szCs w:val="22"/>
        </w:rPr>
        <w:t xml:space="preserve">Once per quarter, the Pack Builder, Practice Lead, and senior Solution Architects convene a 90-minute review:</w:t>
      </w:r>
    </w:p>
    <w:p>
      <w:pPr>
        <w:pStyle w:val="ListParagraph"/>
        <w:numPr>
          <w:ilvl w:val="0"/>
          <w:numId w:val="2"/>
        </w:numPr>
        <w:spacing w:after="60"/>
      </w:pPr>
      <w:r>
        <w:rPr>
          <w:rFonts w:ascii="Calibri" w:cs="Calibri" w:eastAsia="Calibri" w:hAnsi="Calibri"/>
          <w:color w:val="1E293B"/>
          <w:sz w:val="22"/>
          <w:szCs w:val="22"/>
        </w:rPr>
        <w:t xml:space="preserve">Engagement debriefs from the quarter — what's recurring?</w:t>
      </w:r>
    </w:p>
    <w:p>
      <w:pPr>
        <w:pStyle w:val="ListParagraph"/>
        <w:numPr>
          <w:ilvl w:val="0"/>
          <w:numId w:val="2"/>
        </w:numPr>
        <w:spacing w:after="60"/>
      </w:pPr>
      <w:r>
        <w:rPr>
          <w:rFonts w:ascii="Calibri" w:cs="Calibri" w:eastAsia="Calibri" w:hAnsi="Calibri"/>
          <w:color w:val="1E293B"/>
          <w:sz w:val="22"/>
          <w:szCs w:val="22"/>
        </w:rPr>
        <w:t xml:space="preserve">Validation rule effectiveness — false positives, false negatives, missing rules.</w:t>
      </w:r>
    </w:p>
    <w:p>
      <w:pPr>
        <w:pStyle w:val="ListParagraph"/>
        <w:numPr>
          <w:ilvl w:val="0"/>
          <w:numId w:val="2"/>
        </w:numPr>
        <w:spacing w:after="60"/>
      </w:pPr>
      <w:r>
        <w:rPr>
          <w:rFonts w:ascii="Calibri" w:cs="Calibri" w:eastAsia="Calibri" w:hAnsi="Calibri"/>
          <w:color w:val="1E293B"/>
          <w:sz w:val="22"/>
          <w:szCs w:val="22"/>
        </w:rPr>
        <w:t xml:space="preserve">Industry variant evolution — does a new vertical need its own variant?</w:t>
      </w:r>
    </w:p>
    <w:p>
      <w:pPr>
        <w:pStyle w:val="ListParagraph"/>
        <w:numPr>
          <w:ilvl w:val="0"/>
          <w:numId w:val="2"/>
        </w:numPr>
        <w:spacing w:after="60"/>
      </w:pPr>
      <w:r>
        <w:rPr>
          <w:rFonts w:ascii="Calibri" w:cs="Calibri" w:eastAsia="Calibri" w:hAnsi="Calibri"/>
          <w:color w:val="1E293B"/>
          <w:sz w:val="22"/>
          <w:szCs w:val="22"/>
        </w:rPr>
        <w:t xml:space="preserve">Tool and template improvements — does the conversion script, the import pipeline, or the smoke test need updates?</w:t>
      </w:r>
    </w:p>
    <w:p>
      <w:pPr>
        <w:pStyle w:val="ListParagraph"/>
        <w:numPr>
          <w:ilvl w:val="0"/>
          <w:numId w:val="2"/>
        </w:numPr>
        <w:spacing w:after="60"/>
      </w:pPr>
      <w:r>
        <w:rPr>
          <w:rFonts w:ascii="Calibri" w:cs="Calibri" w:eastAsia="Calibri" w:hAnsi="Calibri"/>
          <w:color w:val="1E293B"/>
          <w:sz w:val="22"/>
          <w:szCs w:val="22"/>
        </w:rPr>
        <w:t xml:space="preserve">Forward-looking — what's coming in the next ServiceNow release that requires Pack changes?</w:t>
      </w:r>
    </w:p>
    <w:p>
      <w:r>
        <w:br w:type="page"/>
      </w:r>
    </w:p>
    <w:p>
      <w:pPr>
        <w:pStyle w:val="Heading1"/>
        <w:spacing w:after="180" w:before="360"/>
      </w:pPr>
      <w:r>
        <w:rPr>
          <w:rFonts w:ascii="Calibri" w:cs="Calibri" w:eastAsia="Calibri" w:hAnsi="Calibri"/>
          <w:b/>
          <w:bCs/>
          <w:color w:val="0B1F3A"/>
          <w:sz w:val="32"/>
          <w:szCs w:val="32"/>
        </w:rPr>
        <w:t xml:space="preserve">Appendix A.  Sample Customer Instructions — Foundation Data Users Workbook</w:t>
      </w:r>
    </w:p>
    <w:p>
      <w:pPr>
        <w:spacing w:after="120"/>
      </w:pPr>
      <w:r>
        <w:rPr>
          <w:rFonts w:ascii="Calibri" w:cs="Calibri" w:eastAsia="Calibri" w:hAnsi="Calibri"/>
          <w:b/>
          <w:bCs/>
          <w:color w:val="1E293B"/>
          <w:sz w:val="22"/>
          <w:szCs w:val="22"/>
        </w:rPr>
        <w:t xml:space="preserve">This appendix is a worked example of customer-facing instructions for one workbook. Use it as the template style for all workbooks in the Pack.</w:t>
      </w:r>
    </w:p>
    <w:p>
      <w:pPr>
        <w:pStyle w:val="Heading2"/>
        <w:spacing w:after="120" w:before="240"/>
      </w:pPr>
      <w:r>
        <w:rPr>
          <w:rFonts w:ascii="Calibri" w:cs="Calibri" w:eastAsia="Calibri" w:hAnsi="Calibri"/>
          <w:b/>
          <w:bCs/>
          <w:color w:val="0B1F3A"/>
          <w:sz w:val="26"/>
          <w:szCs w:val="26"/>
        </w:rPr>
        <w:t xml:space="preserve">Purpose</w:t>
      </w:r>
    </w:p>
    <w:p>
      <w:pPr>
        <w:spacing w:after="120"/>
      </w:pPr>
      <w:r>
        <w:rPr>
          <w:rFonts w:ascii="Calibri" w:cs="Calibri" w:eastAsia="Calibri" w:hAnsi="Calibri"/>
          <w:color w:val="1E293B"/>
          <w:sz w:val="22"/>
          <w:szCs w:val="22"/>
        </w:rPr>
        <w:t xml:space="preserve">This workbook captures the people who will use ServiceNow at Connection. We use this list to create user accounts, set up team membership, route work to the right people, and configure who can see what. Without complete and accurate user data, we cannot route incidents correctly, we cannot send approval requests to managers, and we cannot give people the right access on Day 1.</w:t>
      </w:r>
    </w:p>
    <w:p>
      <w:pPr>
        <w:pStyle w:val="Heading2"/>
        <w:spacing w:after="120" w:before="240"/>
      </w:pPr>
      <w:r>
        <w:rPr>
          <w:rFonts w:ascii="Calibri" w:cs="Calibri" w:eastAsia="Calibri" w:hAnsi="Calibri"/>
          <w:b/>
          <w:bCs/>
          <w:color w:val="0B1F3A"/>
          <w:sz w:val="26"/>
          <w:szCs w:val="26"/>
        </w:rPr>
        <w:t xml:space="preserve">Who fills this out</w:t>
      </w:r>
    </w:p>
    <w:p>
      <w:pPr>
        <w:spacing w:after="120"/>
      </w:pPr>
      <w:r>
        <w:rPr>
          <w:rFonts w:ascii="Calibri" w:cs="Calibri" w:eastAsia="Calibri" w:hAnsi="Calibri"/>
          <w:color w:val="1E293B"/>
          <w:sz w:val="22"/>
          <w:szCs w:val="22"/>
        </w:rPr>
        <w:t xml:space="preserve">Connection's IT Operations Manager (or designated alternate) owns this workbook. The data typically comes from Connection's Active Directory or HR system.</w:t>
      </w:r>
    </w:p>
    <w:p>
      <w:pPr>
        <w:pStyle w:val="Heading2"/>
        <w:spacing w:after="120" w:before="240"/>
      </w:pPr>
      <w:r>
        <w:rPr>
          <w:rFonts w:ascii="Calibri" w:cs="Calibri" w:eastAsia="Calibri" w:hAnsi="Calibri"/>
          <w:b/>
          <w:bCs/>
          <w:color w:val="0B1F3A"/>
          <w:sz w:val="26"/>
          <w:szCs w:val="26"/>
        </w:rPr>
        <w:t xml:space="preserve">When it's due</w:t>
      </w:r>
    </w:p>
    <w:p>
      <w:pPr>
        <w:spacing w:after="120"/>
      </w:pPr>
      <w:r>
        <w:rPr>
          <w:rFonts w:ascii="Calibri" w:cs="Calibri" w:eastAsia="Calibri" w:hAnsi="Calibri"/>
          <w:color w:val="1E293B"/>
          <w:sz w:val="22"/>
          <w:szCs w:val="22"/>
        </w:rPr>
        <w:t xml:space="preserve">By the end of Sprint 0, Week 2 — approximately 14 calendar days from engagement kickoff. Earlier is better; this workbook unblocks several other engagement activities.</w:t>
      </w:r>
    </w:p>
    <w:p>
      <w:pPr>
        <w:pStyle w:val="Heading2"/>
        <w:spacing w:after="120" w:before="240"/>
      </w:pPr>
      <w:r>
        <w:rPr>
          <w:rFonts w:ascii="Calibri" w:cs="Calibri" w:eastAsia="Calibri" w:hAnsi="Calibri"/>
          <w:b/>
          <w:bCs/>
          <w:color w:val="0B1F3A"/>
          <w:sz w:val="26"/>
          <w:szCs w:val="26"/>
        </w:rPr>
        <w:t xml:space="preserve">How long it takes</w:t>
      </w:r>
    </w:p>
    <w:p>
      <w:pPr>
        <w:spacing w:after="120"/>
      </w:pPr>
      <w:r>
        <w:rPr>
          <w:rFonts w:ascii="Calibri" w:cs="Calibri" w:eastAsia="Calibri" w:hAnsi="Calibri"/>
          <w:color w:val="1E293B"/>
          <w:sz w:val="22"/>
          <w:szCs w:val="22"/>
        </w:rPr>
        <w:t xml:space="preserve">Approximately 4–6 hours, including data gathering from Active Directory and the HR system, plus a quality review pass. The first 30 minutes are exporting from your source systems; the rest is matching, validating, and filling in fields that the source systems don't have.</w:t>
      </w:r>
    </w:p>
    <w:p>
      <w:pPr>
        <w:pStyle w:val="Heading2"/>
        <w:spacing w:after="120" w:before="240"/>
      </w:pPr>
      <w:r>
        <w:rPr>
          <w:rFonts w:ascii="Calibri" w:cs="Calibri" w:eastAsia="Calibri" w:hAnsi="Calibri"/>
          <w:b/>
          <w:bCs/>
          <w:color w:val="0B1F3A"/>
          <w:sz w:val="26"/>
          <w:szCs w:val="26"/>
        </w:rPr>
        <w:t xml:space="preserve">Where the data comes from</w:t>
      </w:r>
    </w:p>
    <w:p>
      <w:pPr>
        <w:pStyle w:val="ListParagraph"/>
        <w:numPr>
          <w:ilvl w:val="0"/>
          <w:numId w:val="3"/>
        </w:numPr>
        <w:spacing w:after="60"/>
      </w:pPr>
      <w:r>
        <w:rPr>
          <w:rFonts w:ascii="Calibri" w:cs="Calibri" w:eastAsia="Calibri" w:hAnsi="Calibri"/>
          <w:color w:val="1E293B"/>
          <w:sz w:val="22"/>
          <w:szCs w:val="22"/>
        </w:rPr>
        <w:t xml:space="preserve">Active Directory or Entra ID — primary source for user IDs, names, email, manager, department, location.</w:t>
      </w:r>
    </w:p>
    <w:p>
      <w:pPr>
        <w:pStyle w:val="ListParagraph"/>
        <w:numPr>
          <w:ilvl w:val="0"/>
          <w:numId w:val="3"/>
        </w:numPr>
        <w:spacing w:after="60"/>
      </w:pPr>
      <w:r>
        <w:rPr>
          <w:rFonts w:ascii="Calibri" w:cs="Calibri" w:eastAsia="Calibri" w:hAnsi="Calibri"/>
          <w:color w:val="1E293B"/>
          <w:sz w:val="22"/>
          <w:szCs w:val="22"/>
        </w:rPr>
        <w:t xml:space="preserve">HR system (Workday, BambooHR, etc.) — primary source for employee ID, hire date, employment status.</w:t>
      </w:r>
    </w:p>
    <w:p>
      <w:pPr>
        <w:pStyle w:val="ListParagraph"/>
        <w:numPr>
          <w:ilvl w:val="0"/>
          <w:numId w:val="3"/>
        </w:numPr>
        <w:spacing w:after="60"/>
      </w:pPr>
      <w:r>
        <w:rPr>
          <w:rFonts w:ascii="Calibri" w:cs="Calibri" w:eastAsia="Calibri" w:hAnsi="Calibri"/>
          <w:color w:val="1E293B"/>
          <w:sz w:val="22"/>
          <w:szCs w:val="22"/>
        </w:rPr>
        <w:t xml:space="preserve">ServiceNow administrator (Connection) — for any users who need ServiceNow but are not in AD (e.g., contractors, vendors).</w:t>
      </w:r>
    </w:p>
    <w:p>
      <w:pPr>
        <w:pStyle w:val="Heading2"/>
        <w:spacing w:after="120" w:before="240"/>
      </w:pPr>
      <w:r>
        <w:rPr>
          <w:rFonts w:ascii="Calibri" w:cs="Calibri" w:eastAsia="Calibri" w:hAnsi="Calibri"/>
          <w:b/>
          <w:bCs/>
          <w:color w:val="0B1F3A"/>
          <w:sz w:val="26"/>
          <w:szCs w:val="26"/>
        </w:rPr>
        <w:t xml:space="preserve">Field-by-field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860"/>
        <w:gridCol w:w="2340"/>
      </w:tblGrid>
      <w:tr>
        <w:trPr>
          <w:tblHeader/>
        </w:trPr>
        <w:tc>
          <w:tcPr>
            <w:tcBorders>
              <w:top w:val="single" w:color="E2E8F0" w:sz="4"/>
              <w:left w:val="single" w:color="E2E8F0" w:sz="4"/>
              <w:bottom w:val="single" w:color="E2E8F0" w:sz="4"/>
              <w:right w:val="single" w:color="E2E8F0" w:sz="4"/>
            </w:tcBorders>
            <w:shd w:fill="0B1F3A" w:val="clear"/>
            <w:tcMar>
              <w:top w:type="dxa" w:w="120"/>
              <w:left w:type="dxa" w:w="160"/>
              <w:bottom w:type="dxa" w:w="120"/>
              <w:right w:type="dxa" w:w="160"/>
            </w:tcMar>
          </w:tcPr>
          <w:p>
            <w:r>
              <w:rPr>
                <w:rFonts w:ascii="Calibri" w:cs="Calibri" w:eastAsia="Calibri" w:hAnsi="Calibri"/>
                <w:b/>
                <w:bCs/>
                <w:color w:val="FFFFFF"/>
                <w:sz w:val="22"/>
                <w:szCs w:val="22"/>
              </w:rPr>
              <w:t xml:space="preserve">Column</w:t>
            </w:r>
          </w:p>
        </w:tc>
        <w:tc>
          <w:tcPr>
            <w:tcBorders>
              <w:top w:val="single" w:color="E2E8F0" w:sz="4"/>
              <w:left w:val="single" w:color="E2E8F0" w:sz="4"/>
              <w:bottom w:val="single" w:color="E2E8F0" w:sz="4"/>
              <w:right w:val="single" w:color="E2E8F0" w:sz="4"/>
            </w:tcBorders>
            <w:shd w:fill="0B1F3A" w:val="clear"/>
            <w:tcMar>
              <w:top w:type="dxa" w:w="120"/>
              <w:left w:type="dxa" w:w="160"/>
              <w:bottom w:type="dxa" w:w="120"/>
              <w:right w:type="dxa" w:w="160"/>
            </w:tcMar>
          </w:tcPr>
          <w:p>
            <w:r>
              <w:rPr>
                <w:rFonts w:ascii="Calibri" w:cs="Calibri" w:eastAsia="Calibri" w:hAnsi="Calibri"/>
                <w:b/>
                <w:bCs/>
                <w:color w:val="FFFFFF"/>
                <w:sz w:val="22"/>
                <w:szCs w:val="22"/>
              </w:rPr>
              <w:t xml:space="preserve">What goes here</w:t>
            </w:r>
          </w:p>
        </w:tc>
        <w:tc>
          <w:tcPr>
            <w:tcBorders>
              <w:top w:val="single" w:color="E2E8F0" w:sz="4"/>
              <w:left w:val="single" w:color="E2E8F0" w:sz="4"/>
              <w:bottom w:val="single" w:color="E2E8F0" w:sz="4"/>
              <w:right w:val="single" w:color="E2E8F0" w:sz="4"/>
            </w:tcBorders>
            <w:shd w:fill="0B1F3A" w:val="clear"/>
            <w:tcMar>
              <w:top w:type="dxa" w:w="120"/>
              <w:left w:type="dxa" w:w="160"/>
              <w:bottom w:type="dxa" w:w="120"/>
              <w:right w:type="dxa" w:w="160"/>
            </w:tcMar>
          </w:tcPr>
          <w:p>
            <w:r>
              <w:rPr>
                <w:rFonts w:ascii="Calibri" w:cs="Calibri" w:eastAsia="Calibri" w:hAnsi="Calibri"/>
                <w:b/>
                <w:bCs/>
                <w:color w:val="FFFFFF"/>
                <w:sz w:val="22"/>
                <w:szCs w:val="22"/>
              </w:rPr>
              <w:t xml:space="preserve">Example</w:t>
            </w:r>
          </w:p>
        </w:tc>
      </w:tr>
      <w:tr>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full_name</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User's full display name as it should appear in ServiceNow</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Sarah Anderson</w:t>
            </w:r>
          </w:p>
        </w:tc>
      </w:tr>
      <w:tr>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user_id</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Unique identifier — typically the AD username or email prefix. Must be unique across all rows.</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sanderson</w:t>
            </w:r>
          </w:p>
        </w:tc>
      </w:tr>
      <w:tr>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email</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Primary work email address</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sarah.anderson@connection.com</w:t>
            </w:r>
          </w:p>
        </w:tc>
      </w:tr>
      <w:tr>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employee_id</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HR-system employee ID (or N/A for contractors)</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EMP-04827</w:t>
            </w:r>
          </w:p>
        </w:tc>
      </w:tr>
      <w:tr>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manager_user_id</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user_id of this person's manager. Leave blank for executives at the top of the hierarchy.</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tdavis</w:t>
            </w:r>
          </w:p>
        </w:tc>
      </w:tr>
      <w:tr>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department</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Department name. Must match a value in the Department workbook.</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IT Operations</w:t>
            </w:r>
          </w:p>
        </w:tc>
      </w:tr>
      <w:tr>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location</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Primary work location. Must match a value in the Locations workbook.</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Merrimack NH HQ</w:t>
            </w:r>
          </w:p>
        </w:tc>
      </w:tr>
      <w:tr>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title</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Job title</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Senior Systems Administrator</w:t>
            </w:r>
          </w:p>
        </w:tc>
      </w:tr>
      <w:tr>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ad_sso_identifier</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AD or Entra ID identifier used for login (sAMAccountName or UPN)</w:t>
            </w:r>
          </w:p>
        </w:tc>
        <w:tc>
          <w:tcPr>
            <w:tcBorders>
              <w:top w:val="single" w:color="E2E8F0" w:sz="4"/>
              <w:left w:val="single" w:color="E2E8F0" w:sz="4"/>
              <w:bottom w:val="single" w:color="E2E8F0" w:sz="4"/>
              <w:right w:val="single" w:color="E2E8F0" w:sz="4"/>
            </w:tcBorders>
            <w:shd w:fill="F8FAFC"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sanderson@connection.com</w:t>
            </w:r>
          </w:p>
        </w:tc>
      </w:tr>
      <w:tr>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status</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Active or Inactive. Inactive users are imported but cannot log in.</w:t>
            </w:r>
          </w:p>
        </w:tc>
        <w:tc>
          <w:tcPr>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Calibri" w:cs="Calibri" w:eastAsia="Calibri" w:hAnsi="Calibri"/>
                <w:b w:val="false"/>
                <w:bCs w:val="false"/>
                <w:color w:val="1E293B"/>
                <w:sz w:val="20"/>
                <w:szCs w:val="20"/>
              </w:rPr>
              <w:t xml:space="preserve">Active</w:t>
            </w:r>
          </w:p>
        </w:tc>
      </w:tr>
    </w:tbl>
    <w:p>
      <w:pPr>
        <w:pStyle w:val="Heading2"/>
        <w:spacing w:after="120" w:before="240"/>
      </w:pPr>
      <w:r>
        <w:rPr>
          <w:rFonts w:ascii="Calibri" w:cs="Calibri" w:eastAsia="Calibri" w:hAnsi="Calibri"/>
          <w:b/>
          <w:bCs/>
          <w:color w:val="0B1F3A"/>
          <w:sz w:val="26"/>
          <w:szCs w:val="26"/>
        </w:rPr>
        <w:t xml:space="preserve">Common pitfalls</w:t>
      </w:r>
    </w:p>
    <w:p>
      <w:pPr>
        <w:pStyle w:val="ListParagraph"/>
        <w:numPr>
          <w:ilvl w:val="0"/>
          <w:numId w:val="3"/>
        </w:numPr>
        <w:spacing w:after="60"/>
      </w:pPr>
      <w:r>
        <w:rPr>
          <w:rFonts w:ascii="Calibri" w:cs="Calibri" w:eastAsia="Calibri" w:hAnsi="Calibri"/>
          <w:b/>
          <w:bCs/>
          <w:color w:val="1E293B"/>
          <w:sz w:val="22"/>
          <w:szCs w:val="22"/>
        </w:rPr>
        <w:t xml:space="preserve">Pitfall: </w:t>
      </w:r>
      <w:r>
        <w:rPr>
          <w:rFonts w:ascii="Calibri" w:cs="Calibri" w:eastAsia="Calibri" w:hAnsi="Calibri"/>
          <w:color w:val="1E293B"/>
          <w:sz w:val="22"/>
          <w:szCs w:val="22"/>
        </w:rPr>
        <w:t xml:space="preserve">Multiple users with the same user_id (e.g., two 'jsmith's). </w:t>
      </w:r>
      <w:r>
        <w:rPr>
          <w:rFonts w:ascii="Calibri" w:cs="Calibri" w:eastAsia="Calibri" w:hAnsi="Calibri"/>
          <w:b/>
          <w:bCs/>
          <w:color w:val="1E293B"/>
          <w:sz w:val="22"/>
          <w:szCs w:val="22"/>
        </w:rPr>
        <w:t xml:space="preserve">Mitigation: </w:t>
      </w:r>
      <w:r>
        <w:rPr>
          <w:rFonts w:ascii="Calibri" w:cs="Calibri" w:eastAsia="Calibri" w:hAnsi="Calibri"/>
          <w:color w:val="1E293B"/>
          <w:sz w:val="22"/>
          <w:szCs w:val="22"/>
        </w:rPr>
        <w:t xml:space="preserve">Use full email or add a suffix to disambiguate; user_id must be unique.</w:t>
      </w:r>
    </w:p>
    <w:p>
      <w:pPr>
        <w:pStyle w:val="ListParagraph"/>
        <w:numPr>
          <w:ilvl w:val="0"/>
          <w:numId w:val="3"/>
        </w:numPr>
        <w:spacing w:after="60"/>
      </w:pPr>
      <w:r>
        <w:rPr>
          <w:rFonts w:ascii="Calibri" w:cs="Calibri" w:eastAsia="Calibri" w:hAnsi="Calibri"/>
          <w:b/>
          <w:bCs/>
          <w:color w:val="1E293B"/>
          <w:sz w:val="22"/>
          <w:szCs w:val="22"/>
        </w:rPr>
        <w:t xml:space="preserve">Pitfall: </w:t>
      </w:r>
      <w:r>
        <w:rPr>
          <w:rFonts w:ascii="Calibri" w:cs="Calibri" w:eastAsia="Calibri" w:hAnsi="Calibri"/>
          <w:color w:val="1E293B"/>
          <w:sz w:val="22"/>
          <w:szCs w:val="22"/>
        </w:rPr>
        <w:t xml:space="preserve">Manager references that don't resolve (e.g., manager_user_id 'kbrown' but no kbrown in the workbook). </w:t>
      </w:r>
      <w:r>
        <w:rPr>
          <w:rFonts w:ascii="Calibri" w:cs="Calibri" w:eastAsia="Calibri" w:hAnsi="Calibri"/>
          <w:b/>
          <w:bCs/>
          <w:color w:val="1E293B"/>
          <w:sz w:val="22"/>
          <w:szCs w:val="22"/>
        </w:rPr>
        <w:t xml:space="preserve">Mitigation: </w:t>
      </w:r>
      <w:r>
        <w:rPr>
          <w:rFonts w:ascii="Calibri" w:cs="Calibri" w:eastAsia="Calibri" w:hAnsi="Calibri"/>
          <w:color w:val="1E293B"/>
          <w:sz w:val="22"/>
          <w:szCs w:val="22"/>
        </w:rPr>
        <w:t xml:space="preserve">Sort the workbook so managers appear before their reports; do a self-referential lookup before submitting.</w:t>
      </w:r>
    </w:p>
    <w:p>
      <w:pPr>
        <w:pStyle w:val="ListParagraph"/>
        <w:numPr>
          <w:ilvl w:val="0"/>
          <w:numId w:val="3"/>
        </w:numPr>
        <w:spacing w:after="60"/>
      </w:pPr>
      <w:r>
        <w:rPr>
          <w:rFonts w:ascii="Calibri" w:cs="Calibri" w:eastAsia="Calibri" w:hAnsi="Calibri"/>
          <w:b/>
          <w:bCs/>
          <w:color w:val="1E293B"/>
          <w:sz w:val="22"/>
          <w:szCs w:val="22"/>
        </w:rPr>
        <w:t xml:space="preserve">Pitfall: </w:t>
      </w:r>
      <w:r>
        <w:rPr>
          <w:rFonts w:ascii="Calibri" w:cs="Calibri" w:eastAsia="Calibri" w:hAnsi="Calibri"/>
          <w:color w:val="1E293B"/>
          <w:sz w:val="22"/>
          <w:szCs w:val="22"/>
        </w:rPr>
        <w:t xml:space="preserve">Department or Location values that don't match the Department or Locations workbooks. </w:t>
      </w:r>
      <w:r>
        <w:rPr>
          <w:rFonts w:ascii="Calibri" w:cs="Calibri" w:eastAsia="Calibri" w:hAnsi="Calibri"/>
          <w:b/>
          <w:bCs/>
          <w:color w:val="1E293B"/>
          <w:sz w:val="22"/>
          <w:szCs w:val="22"/>
        </w:rPr>
        <w:t xml:space="preserve">Mitigation: </w:t>
      </w:r>
      <w:r>
        <w:rPr>
          <w:rFonts w:ascii="Calibri" w:cs="Calibri" w:eastAsia="Calibri" w:hAnsi="Calibri"/>
          <w:color w:val="1E293B"/>
          <w:sz w:val="22"/>
          <w:szCs w:val="22"/>
        </w:rPr>
        <w:t xml:space="preserve">Use the validation script (sent separately) before submitting — it cross-references the workbooks.</w:t>
      </w:r>
    </w:p>
    <w:p>
      <w:pPr>
        <w:pStyle w:val="ListParagraph"/>
        <w:numPr>
          <w:ilvl w:val="0"/>
          <w:numId w:val="3"/>
        </w:numPr>
        <w:spacing w:after="60"/>
      </w:pPr>
      <w:r>
        <w:rPr>
          <w:rFonts w:ascii="Calibri" w:cs="Calibri" w:eastAsia="Calibri" w:hAnsi="Calibri"/>
          <w:b/>
          <w:bCs/>
          <w:color w:val="1E293B"/>
          <w:sz w:val="22"/>
          <w:szCs w:val="22"/>
        </w:rPr>
        <w:t xml:space="preserve">Pitfall: </w:t>
      </w:r>
      <w:r>
        <w:rPr>
          <w:rFonts w:ascii="Calibri" w:cs="Calibri" w:eastAsia="Calibri" w:hAnsi="Calibri"/>
          <w:color w:val="1E293B"/>
          <w:sz w:val="22"/>
          <w:szCs w:val="22"/>
        </w:rPr>
        <w:t xml:space="preserve">Including former employees who have left Connection. </w:t>
      </w:r>
      <w:r>
        <w:rPr>
          <w:rFonts w:ascii="Calibri" w:cs="Calibri" w:eastAsia="Calibri" w:hAnsi="Calibri"/>
          <w:b/>
          <w:bCs/>
          <w:color w:val="1E293B"/>
          <w:sz w:val="22"/>
          <w:szCs w:val="22"/>
        </w:rPr>
        <w:t xml:space="preserve">Mitigation: </w:t>
      </w:r>
      <w:r>
        <w:rPr>
          <w:rFonts w:ascii="Calibri" w:cs="Calibri" w:eastAsia="Calibri" w:hAnsi="Calibri"/>
          <w:color w:val="1E293B"/>
          <w:sz w:val="22"/>
          <w:szCs w:val="22"/>
        </w:rPr>
        <w:t xml:space="preserve">Filter the source-system export by 'Active' status before importing to the workbook.</w:t>
      </w:r>
    </w:p>
    <w:p>
      <w:pPr>
        <w:pStyle w:val="ListParagraph"/>
        <w:numPr>
          <w:ilvl w:val="0"/>
          <w:numId w:val="3"/>
        </w:numPr>
        <w:spacing w:after="60"/>
      </w:pPr>
      <w:r>
        <w:rPr>
          <w:rFonts w:ascii="Calibri" w:cs="Calibri" w:eastAsia="Calibri" w:hAnsi="Calibri"/>
          <w:b/>
          <w:bCs/>
          <w:color w:val="1E293B"/>
          <w:sz w:val="22"/>
          <w:szCs w:val="22"/>
        </w:rPr>
        <w:t xml:space="preserve">Pitfall: </w:t>
      </w:r>
      <w:r>
        <w:rPr>
          <w:rFonts w:ascii="Calibri" w:cs="Calibri" w:eastAsia="Calibri" w:hAnsi="Calibri"/>
          <w:color w:val="1E293B"/>
          <w:sz w:val="22"/>
          <w:szCs w:val="22"/>
        </w:rPr>
        <w:t xml:space="preserve">AD/SSO identifier missing for users who need login. </w:t>
      </w:r>
      <w:r>
        <w:rPr>
          <w:rFonts w:ascii="Calibri" w:cs="Calibri" w:eastAsia="Calibri" w:hAnsi="Calibri"/>
          <w:b/>
          <w:bCs/>
          <w:color w:val="1E293B"/>
          <w:sz w:val="22"/>
          <w:szCs w:val="22"/>
        </w:rPr>
        <w:t xml:space="preserve">Mitigation: </w:t>
      </w:r>
      <w:r>
        <w:rPr>
          <w:rFonts w:ascii="Calibri" w:cs="Calibri" w:eastAsia="Calibri" w:hAnsi="Calibri"/>
          <w:color w:val="1E293B"/>
          <w:sz w:val="22"/>
          <w:szCs w:val="22"/>
        </w:rPr>
        <w:t xml:space="preserve">If a user needs to log in but has no AD/SSO identifier, contact your ECS Solution Architect — these need to be handled case-by-case.</w:t>
      </w:r>
    </w:p>
    <w:p>
      <w:pPr>
        <w:pStyle w:val="Heading2"/>
        <w:spacing w:after="120" w:before="240"/>
      </w:pPr>
      <w:r>
        <w:rPr>
          <w:rFonts w:ascii="Calibri" w:cs="Calibri" w:eastAsia="Calibri" w:hAnsi="Calibri"/>
          <w:b/>
          <w:bCs/>
          <w:color w:val="0B1F3A"/>
          <w:sz w:val="26"/>
          <w:szCs w:val="26"/>
        </w:rPr>
        <w:t xml:space="preserve">Frequently Asked Questions</w:t>
      </w:r>
    </w:p>
    <w:p>
      <w:pPr>
        <w:spacing w:after="120"/>
      </w:pPr>
      <w:r>
        <w:rPr>
          <w:rFonts w:ascii="Calibri" w:cs="Calibri" w:eastAsia="Calibri" w:hAnsi="Calibri"/>
          <w:b/>
          <w:bCs/>
          <w:color w:val="1E293B"/>
          <w:sz w:val="22"/>
          <w:szCs w:val="22"/>
        </w:rPr>
        <w:t xml:space="preserve">Q: Do we need to include all employees, or just the ones who will use ServiceNow?</w:t>
      </w:r>
    </w:p>
    <w:p>
      <w:pPr>
        <w:spacing w:after="120"/>
      </w:pPr>
      <w:r>
        <w:rPr>
          <w:rFonts w:ascii="Calibri" w:cs="Calibri" w:eastAsia="Calibri" w:hAnsi="Calibri"/>
          <w:color w:val="1E293B"/>
          <w:sz w:val="22"/>
          <w:szCs w:val="22"/>
        </w:rPr>
        <w:t xml:space="preserve">A: All employees who will use ServiceNow in any capacity (submit a ticket, approve a request, be assigned work). We recommend including all employees as a starting point — it's faster to deactivate later than to add users one at a time.</w:t>
      </w:r>
    </w:p>
    <w:p>
      <w:pPr>
        <w:spacing w:after="120"/>
      </w:pPr>
      <w:r>
        <w:rPr>
          <w:rFonts w:ascii="Calibri" w:cs="Calibri" w:eastAsia="Calibri" w:hAnsi="Calibri"/>
          <w:b/>
          <w:bCs/>
          <w:color w:val="1E293B"/>
          <w:sz w:val="22"/>
          <w:szCs w:val="22"/>
        </w:rPr>
        <w:t xml:space="preserve">Q: What about contractors who don't have AD accounts?</w:t>
      </w:r>
    </w:p>
    <w:p>
      <w:pPr>
        <w:spacing w:after="120"/>
      </w:pPr>
      <w:r>
        <w:rPr>
          <w:rFonts w:ascii="Calibri" w:cs="Calibri" w:eastAsia="Calibri" w:hAnsi="Calibri"/>
          <w:color w:val="1E293B"/>
          <w:sz w:val="22"/>
          <w:szCs w:val="22"/>
        </w:rPr>
        <w:t xml:space="preserve">A: Include them with their email as the user_id. We will work with you in Sprint 1 to determine whether they need ServiceNow logins or only need to be referenced as record owners.</w:t>
      </w:r>
    </w:p>
    <w:p>
      <w:pPr>
        <w:spacing w:after="120"/>
      </w:pPr>
      <w:r>
        <w:rPr>
          <w:rFonts w:ascii="Calibri" w:cs="Calibri" w:eastAsia="Calibri" w:hAnsi="Calibri"/>
          <w:b/>
          <w:bCs/>
          <w:color w:val="1E293B"/>
          <w:sz w:val="22"/>
          <w:szCs w:val="22"/>
        </w:rPr>
        <w:t xml:space="preserve">Q: Our manager hierarchy in AD is incomplete. What do we do?</w:t>
      </w:r>
    </w:p>
    <w:p>
      <w:pPr>
        <w:spacing w:after="120"/>
      </w:pPr>
      <w:r>
        <w:rPr>
          <w:rFonts w:ascii="Calibri" w:cs="Calibri" w:eastAsia="Calibri" w:hAnsi="Calibri"/>
          <w:color w:val="1E293B"/>
          <w:sz w:val="22"/>
          <w:szCs w:val="22"/>
        </w:rPr>
        <w:t xml:space="preserve">A: Fill in what you have, and flag the gaps in a separate column. Approval routing will fail for users without managers, so we'll work together to close the gaps before go-live.</w:t>
      </w:r>
    </w:p>
    <w:p>
      <w:pPr>
        <w:spacing w:after="120"/>
      </w:pPr>
      <w:r>
        <w:rPr>
          <w:rFonts w:ascii="Calibri" w:cs="Calibri" w:eastAsia="Calibri" w:hAnsi="Calibri"/>
          <w:b/>
          <w:bCs/>
          <w:color w:val="1E293B"/>
          <w:sz w:val="22"/>
          <w:szCs w:val="22"/>
        </w:rPr>
        <w:t xml:space="preserve">Q: Can we add columns to capture other data we want in ServiceNow?</w:t>
      </w:r>
    </w:p>
    <w:p>
      <w:pPr>
        <w:spacing w:after="120"/>
      </w:pPr>
      <w:r>
        <w:rPr>
          <w:rFonts w:ascii="Calibri" w:cs="Calibri" w:eastAsia="Calibri" w:hAnsi="Calibri"/>
          <w:color w:val="1E293B"/>
          <w:sz w:val="22"/>
          <w:szCs w:val="22"/>
        </w:rPr>
        <w:t xml:space="preserve">A: No — please do not add or remove columns. The workbook structure is locked to match our import pipeline. If you have additional data you want imported, talk to your Solution Architect about adding it via a separate workbook.</w:t>
      </w:r>
    </w:p>
    <w:p>
      <w:pPr>
        <w:pStyle w:val="Heading2"/>
        <w:spacing w:after="120" w:before="240"/>
      </w:pPr>
      <w:r>
        <w:rPr>
          <w:rFonts w:ascii="Calibri" w:cs="Calibri" w:eastAsia="Calibri" w:hAnsi="Calibri"/>
          <w:b/>
          <w:bCs/>
          <w:color w:val="0B1F3A"/>
          <w:sz w:val="26"/>
          <w:szCs w:val="26"/>
        </w:rPr>
        <w:t xml:space="preserve">Who to ask</w:t>
      </w:r>
    </w:p>
    <w:p>
      <w:pPr>
        <w:spacing w:after="120"/>
      </w:pPr>
      <w:r>
        <w:rPr>
          <w:rFonts w:ascii="Calibri" w:cs="Calibri" w:eastAsia="Calibri" w:hAnsi="Calibri"/>
          <w:color w:val="1E293B"/>
          <w:sz w:val="22"/>
          <w:szCs w:val="22"/>
        </w:rPr>
        <w:t xml:space="preserve">For questions about this workbook, contact your engagement's ECS Solution Architect (named in the engagement kickoff document) or email the practice at [practice contact placeholder].</w:t>
      </w:r>
    </w:p>
    <w:p>
      <w:r>
        <w:br w:type="page"/>
      </w:r>
    </w:p>
    <w:p>
      <w:pPr>
        <w:pStyle w:val="Heading1"/>
        <w:spacing w:after="180" w:before="360"/>
      </w:pPr>
      <w:r>
        <w:rPr>
          <w:rFonts w:ascii="Calibri" w:cs="Calibri" w:eastAsia="Calibri" w:hAnsi="Calibri"/>
          <w:b/>
          <w:bCs/>
          <w:color w:val="0B1F3A"/>
          <w:sz w:val="32"/>
          <w:szCs w:val="32"/>
        </w:rPr>
        <w:t xml:space="preserve">Appendix B.  Pack Builder Checklist</w:t>
      </w:r>
    </w:p>
    <w:p>
      <w:pPr>
        <w:spacing w:after="120"/>
      </w:pPr>
      <w:r>
        <w:rPr>
          <w:rFonts w:ascii="Calibri" w:cs="Calibri" w:eastAsia="Calibri" w:hAnsi="Calibri"/>
          <w:color w:val="1E293B"/>
          <w:sz w:val="22"/>
          <w:szCs w:val="22"/>
        </w:rPr>
        <w:t xml:space="preserve">The day-to-day working checklist for the person building or maintaining a Pack.</w:t>
      </w:r>
    </w:p>
    <w:p>
      <w:pPr>
        <w:pStyle w:val="Heading2"/>
        <w:spacing w:after="120" w:before="240"/>
      </w:pPr>
      <w:r>
        <w:rPr>
          <w:rFonts w:ascii="Calibri" w:cs="Calibri" w:eastAsia="Calibri" w:hAnsi="Calibri"/>
          <w:b/>
          <w:bCs/>
          <w:color w:val="0B1F3A"/>
          <w:sz w:val="26"/>
          <w:szCs w:val="26"/>
        </w:rPr>
        <w:t xml:space="preserve">When kicking off a new engagement Pack</w:t>
      </w:r>
    </w:p>
    <w:p>
      <w:pPr>
        <w:spacing w:after="60"/>
        <w:ind w:left="360"/>
      </w:pPr>
      <w:r>
        <w:rPr>
          <w:rFonts w:ascii="Calibri" w:cs="Calibri" w:eastAsia="Calibri" w:hAnsi="Calibri"/>
          <w:color w:val="0D9488"/>
          <w:sz w:val="22"/>
          <w:szCs w:val="22"/>
        </w:rPr>
        <w:t xml:space="preserve">☐  </w:t>
      </w:r>
      <w:r>
        <w:rPr>
          <w:rFonts w:ascii="Calibri" w:cs="Calibri" w:eastAsia="Calibri" w:hAnsi="Calibri"/>
          <w:color w:val="1E293B"/>
          <w:sz w:val="22"/>
          <w:szCs w:val="22"/>
        </w:rPr>
        <w:t xml:space="preserve">Pull the latest version of the Pack library from source control.</w:t>
      </w:r>
    </w:p>
    <w:p>
      <w:pPr>
        <w:spacing w:after="60"/>
        <w:ind w:left="360"/>
      </w:pPr>
      <w:r>
        <w:rPr>
          <w:rFonts w:ascii="Calibri" w:cs="Calibri" w:eastAsia="Calibri" w:hAnsi="Calibri"/>
          <w:color w:val="0D9488"/>
          <w:sz w:val="22"/>
          <w:szCs w:val="22"/>
        </w:rPr>
        <w:t xml:space="preserve">☐  </w:t>
      </w:r>
      <w:r>
        <w:rPr>
          <w:rFonts w:ascii="Calibri" w:cs="Calibri" w:eastAsia="Calibri" w:hAnsi="Calibri"/>
          <w:color w:val="1E293B"/>
          <w:sz w:val="22"/>
          <w:szCs w:val="22"/>
        </w:rPr>
        <w:t xml:space="preserve">Identify in-scope workstreams from the SOW; pull only the relevant workbooks.</w:t>
      </w:r>
    </w:p>
    <w:p>
      <w:pPr>
        <w:spacing w:after="60"/>
        <w:ind w:left="360"/>
      </w:pPr>
      <w:r>
        <w:rPr>
          <w:rFonts w:ascii="Calibri" w:cs="Calibri" w:eastAsia="Calibri" w:hAnsi="Calibri"/>
          <w:color w:val="0D9488"/>
          <w:sz w:val="22"/>
          <w:szCs w:val="22"/>
        </w:rPr>
        <w:t xml:space="preserve">☐  </w:t>
      </w:r>
      <w:r>
        <w:rPr>
          <w:rFonts w:ascii="Calibri" w:cs="Calibri" w:eastAsia="Calibri" w:hAnsi="Calibri"/>
          <w:color w:val="1E293B"/>
          <w:sz w:val="22"/>
          <w:szCs w:val="22"/>
        </w:rPr>
        <w:t xml:space="preserve">Tailor industry variant if applicable (Federal, Higher Ed, Healthcare, FinServ).</w:t>
      </w:r>
    </w:p>
    <w:p>
      <w:pPr>
        <w:spacing w:after="60"/>
        <w:ind w:left="360"/>
      </w:pPr>
      <w:r>
        <w:rPr>
          <w:rFonts w:ascii="Calibri" w:cs="Calibri" w:eastAsia="Calibri" w:hAnsi="Calibri"/>
          <w:color w:val="0D9488"/>
          <w:sz w:val="22"/>
          <w:szCs w:val="22"/>
        </w:rPr>
        <w:t xml:space="preserve">☐  </w:t>
      </w:r>
      <w:r>
        <w:rPr>
          <w:rFonts w:ascii="Calibri" w:cs="Calibri" w:eastAsia="Calibri" w:hAnsi="Calibri"/>
          <w:color w:val="1E293B"/>
          <w:sz w:val="22"/>
          <w:szCs w:val="22"/>
        </w:rPr>
        <w:t xml:space="preserve">Update workbook headers with engagement name and version.</w:t>
      </w:r>
    </w:p>
    <w:p>
      <w:pPr>
        <w:spacing w:after="60"/>
        <w:ind w:left="360"/>
      </w:pPr>
      <w:r>
        <w:rPr>
          <w:rFonts w:ascii="Calibri" w:cs="Calibri" w:eastAsia="Calibri" w:hAnsi="Calibri"/>
          <w:color w:val="0D9488"/>
          <w:sz w:val="22"/>
          <w:szCs w:val="22"/>
        </w:rPr>
        <w:t xml:space="preserve">☐  </w:t>
      </w:r>
      <w:r>
        <w:rPr>
          <w:rFonts w:ascii="Calibri" w:cs="Calibri" w:eastAsia="Calibri" w:hAnsi="Calibri"/>
          <w:color w:val="1E293B"/>
          <w:sz w:val="22"/>
          <w:szCs w:val="22"/>
        </w:rPr>
        <w:t xml:space="preserve">Update the named ECS Solution Architect contact in each workbook's instructions.</w:t>
      </w:r>
    </w:p>
    <w:p>
      <w:pPr>
        <w:spacing w:after="60"/>
        <w:ind w:left="360"/>
      </w:pPr>
      <w:r>
        <w:rPr>
          <w:rFonts w:ascii="Calibri" w:cs="Calibri" w:eastAsia="Calibri" w:hAnsi="Calibri"/>
          <w:color w:val="0D9488"/>
          <w:sz w:val="22"/>
          <w:szCs w:val="22"/>
        </w:rPr>
        <w:t xml:space="preserve">☐  </w:t>
      </w:r>
      <w:r>
        <w:rPr>
          <w:rFonts w:ascii="Calibri" w:cs="Calibri" w:eastAsia="Calibri" w:hAnsi="Calibri"/>
          <w:color w:val="1E293B"/>
          <w:sz w:val="22"/>
          <w:szCs w:val="22"/>
        </w:rPr>
        <w:t xml:space="preserve">Run Gate 1 (Template Ready) checklist before delivering to customer.</w:t>
      </w:r>
    </w:p>
    <w:p>
      <w:pPr>
        <w:spacing w:after="60"/>
        <w:ind w:left="360"/>
      </w:pPr>
      <w:r>
        <w:rPr>
          <w:rFonts w:ascii="Calibri" w:cs="Calibri" w:eastAsia="Calibri" w:hAnsi="Calibri"/>
          <w:color w:val="0D9488"/>
          <w:sz w:val="22"/>
          <w:szCs w:val="22"/>
        </w:rPr>
        <w:t xml:space="preserve">☐  </w:t>
      </w:r>
      <w:r>
        <w:rPr>
          <w:rFonts w:ascii="Calibri" w:cs="Calibri" w:eastAsia="Calibri" w:hAnsi="Calibri"/>
          <w:color w:val="1E293B"/>
          <w:sz w:val="22"/>
          <w:szCs w:val="22"/>
        </w:rPr>
        <w:t xml:space="preserve">Schedule the Sprint 0 Pack Walkthrough with the customer SMEs.</w:t>
      </w:r>
    </w:p>
    <w:p>
      <w:pPr>
        <w:spacing w:after="60"/>
        <w:ind w:left="360"/>
      </w:pPr>
      <w:r>
        <w:rPr>
          <w:rFonts w:ascii="Calibri" w:cs="Calibri" w:eastAsia="Calibri" w:hAnsi="Calibri"/>
          <w:color w:val="0D9488"/>
          <w:sz w:val="22"/>
          <w:szCs w:val="22"/>
        </w:rPr>
        <w:t xml:space="preserve">☐  </w:t>
      </w:r>
      <w:r>
        <w:rPr>
          <w:rFonts w:ascii="Calibri" w:cs="Calibri" w:eastAsia="Calibri" w:hAnsi="Calibri"/>
          <w:color w:val="1E293B"/>
          <w:sz w:val="22"/>
          <w:szCs w:val="22"/>
        </w:rPr>
        <w:t xml:space="preserve">Provide the validation script to the customer for self-validation before submission.</w:t>
      </w:r>
    </w:p>
    <w:p>
      <w:pPr>
        <w:pStyle w:val="Heading2"/>
        <w:spacing w:after="120" w:before="240"/>
      </w:pPr>
      <w:r>
        <w:rPr>
          <w:rFonts w:ascii="Calibri" w:cs="Calibri" w:eastAsia="Calibri" w:hAnsi="Calibri"/>
          <w:b/>
          <w:bCs/>
          <w:color w:val="0B1F3A"/>
          <w:sz w:val="26"/>
          <w:szCs w:val="26"/>
        </w:rPr>
        <w:t xml:space="preserve">When receiving a customer-completed workbook</w:t>
      </w:r>
    </w:p>
    <w:p>
      <w:pPr>
        <w:spacing w:after="60"/>
        <w:ind w:left="360"/>
      </w:pPr>
      <w:r>
        <w:rPr>
          <w:rFonts w:ascii="Calibri" w:cs="Calibri" w:eastAsia="Calibri" w:hAnsi="Calibri"/>
          <w:color w:val="0D9488"/>
          <w:sz w:val="22"/>
          <w:szCs w:val="22"/>
        </w:rPr>
        <w:t xml:space="preserve">☐  </w:t>
      </w:r>
      <w:r>
        <w:rPr>
          <w:rFonts w:ascii="Calibri" w:cs="Calibri" w:eastAsia="Calibri" w:hAnsi="Calibri"/>
          <w:color w:val="1E293B"/>
          <w:sz w:val="22"/>
          <w:szCs w:val="22"/>
        </w:rPr>
        <w:t xml:space="preserve">Run the validation script.</w:t>
      </w:r>
    </w:p>
    <w:p>
      <w:pPr>
        <w:spacing w:after="60"/>
        <w:ind w:left="360"/>
      </w:pPr>
      <w:r>
        <w:rPr>
          <w:rFonts w:ascii="Calibri" w:cs="Calibri" w:eastAsia="Calibri" w:hAnsi="Calibri"/>
          <w:color w:val="0D9488"/>
          <w:sz w:val="22"/>
          <w:szCs w:val="22"/>
        </w:rPr>
        <w:t xml:space="preserve">☐  </w:t>
      </w:r>
      <w:r>
        <w:rPr>
          <w:rFonts w:ascii="Calibri" w:cs="Calibri" w:eastAsia="Calibri" w:hAnsi="Calibri"/>
          <w:color w:val="1E293B"/>
          <w:sz w:val="22"/>
          <w:szCs w:val="22"/>
        </w:rPr>
        <w:t xml:space="preserve">Generate the validation report (Errors / Warnings / Notes).</w:t>
      </w:r>
    </w:p>
    <w:p>
      <w:pPr>
        <w:spacing w:after="60"/>
        <w:ind w:left="360"/>
      </w:pPr>
      <w:r>
        <w:rPr>
          <w:rFonts w:ascii="Calibri" w:cs="Calibri" w:eastAsia="Calibri" w:hAnsi="Calibri"/>
          <w:color w:val="0D9488"/>
          <w:sz w:val="22"/>
          <w:szCs w:val="22"/>
        </w:rPr>
        <w:t xml:space="preserve">☐  </w:t>
      </w:r>
      <w:r>
        <w:rPr>
          <w:rFonts w:ascii="Calibri" w:cs="Calibri" w:eastAsia="Calibri" w:hAnsi="Calibri"/>
          <w:color w:val="1E293B"/>
          <w:sz w:val="22"/>
          <w:szCs w:val="22"/>
        </w:rPr>
        <w:t xml:space="preserve">If Errors &gt; 0: return to customer with the report and a target re-submission date.</w:t>
      </w:r>
    </w:p>
    <w:p>
      <w:pPr>
        <w:spacing w:after="60"/>
        <w:ind w:left="360"/>
      </w:pPr>
      <w:r>
        <w:rPr>
          <w:rFonts w:ascii="Calibri" w:cs="Calibri" w:eastAsia="Calibri" w:hAnsi="Calibri"/>
          <w:color w:val="0D9488"/>
          <w:sz w:val="22"/>
          <w:szCs w:val="22"/>
        </w:rPr>
        <w:t xml:space="preserve">☐  </w:t>
      </w:r>
      <w:r>
        <w:rPr>
          <w:rFonts w:ascii="Calibri" w:cs="Calibri" w:eastAsia="Calibri" w:hAnsi="Calibri"/>
          <w:color w:val="1E293B"/>
          <w:sz w:val="22"/>
          <w:szCs w:val="22"/>
        </w:rPr>
        <w:t xml:space="preserve">If only Warnings: schedule 30-min sync with customer SME to resolve or accept.</w:t>
      </w:r>
    </w:p>
    <w:p>
      <w:pPr>
        <w:spacing w:after="60"/>
        <w:ind w:left="360"/>
      </w:pPr>
      <w:r>
        <w:rPr>
          <w:rFonts w:ascii="Calibri" w:cs="Calibri" w:eastAsia="Calibri" w:hAnsi="Calibri"/>
          <w:color w:val="0D9488"/>
          <w:sz w:val="22"/>
          <w:szCs w:val="22"/>
        </w:rPr>
        <w:t xml:space="preserve">☐  </w:t>
      </w:r>
      <w:r>
        <w:rPr>
          <w:rFonts w:ascii="Calibri" w:cs="Calibri" w:eastAsia="Calibri" w:hAnsi="Calibri"/>
          <w:color w:val="1E293B"/>
          <w:sz w:val="22"/>
          <w:szCs w:val="22"/>
        </w:rPr>
        <w:t xml:space="preserve">Move validated workbook to the import staging area.</w:t>
      </w:r>
    </w:p>
    <w:p>
      <w:pPr>
        <w:pStyle w:val="Heading2"/>
        <w:spacing w:after="120" w:before="240"/>
      </w:pPr>
      <w:r>
        <w:rPr>
          <w:rFonts w:ascii="Calibri" w:cs="Calibri" w:eastAsia="Calibri" w:hAnsi="Calibri"/>
          <w:b/>
          <w:bCs/>
          <w:color w:val="0B1F3A"/>
          <w:sz w:val="26"/>
          <w:szCs w:val="26"/>
        </w:rPr>
        <w:t xml:space="preserve">When importing a Pack</w:t>
      </w:r>
    </w:p>
    <w:p>
      <w:pPr>
        <w:spacing w:after="60"/>
        <w:ind w:left="360"/>
      </w:pPr>
      <w:r>
        <w:rPr>
          <w:rFonts w:ascii="Calibri" w:cs="Calibri" w:eastAsia="Calibri" w:hAnsi="Calibri"/>
          <w:color w:val="0D9488"/>
          <w:sz w:val="22"/>
          <w:szCs w:val="22"/>
        </w:rPr>
        <w:t xml:space="preserve">☐  </w:t>
      </w:r>
      <w:r>
        <w:rPr>
          <w:rFonts w:ascii="Calibri" w:cs="Calibri" w:eastAsia="Calibri" w:hAnsi="Calibri"/>
          <w:color w:val="1E293B"/>
          <w:sz w:val="22"/>
          <w:szCs w:val="22"/>
        </w:rPr>
        <w:t xml:space="preserve">Confirm import order against Section 5.2 (dependencies).</w:t>
      </w:r>
    </w:p>
    <w:p>
      <w:pPr>
        <w:spacing w:after="60"/>
        <w:ind w:left="360"/>
      </w:pPr>
      <w:r>
        <w:rPr>
          <w:rFonts w:ascii="Calibri" w:cs="Calibri" w:eastAsia="Calibri" w:hAnsi="Calibri"/>
          <w:color w:val="0D9488"/>
          <w:sz w:val="22"/>
          <w:szCs w:val="22"/>
        </w:rPr>
        <w:t xml:space="preserve">☐  </w:t>
      </w:r>
      <w:r>
        <w:rPr>
          <w:rFonts w:ascii="Calibri" w:cs="Calibri" w:eastAsia="Calibri" w:hAnsi="Calibri"/>
          <w:color w:val="1E293B"/>
          <w:sz w:val="22"/>
          <w:szCs w:val="22"/>
        </w:rPr>
        <w:t xml:space="preserve">Create a dedicated Update Set named per the engagement convention.</w:t>
      </w:r>
    </w:p>
    <w:p>
      <w:pPr>
        <w:spacing w:after="60"/>
        <w:ind w:left="360"/>
      </w:pPr>
      <w:r>
        <w:rPr>
          <w:rFonts w:ascii="Calibri" w:cs="Calibri" w:eastAsia="Calibri" w:hAnsi="Calibri"/>
          <w:color w:val="0D9488"/>
          <w:sz w:val="22"/>
          <w:szCs w:val="22"/>
        </w:rPr>
        <w:t xml:space="preserve">☐  </w:t>
      </w:r>
      <w:r>
        <w:rPr>
          <w:rFonts w:ascii="Calibri" w:cs="Calibri" w:eastAsia="Calibri" w:hAnsi="Calibri"/>
          <w:color w:val="1E293B"/>
          <w:sz w:val="22"/>
          <w:szCs w:val="22"/>
        </w:rPr>
        <w:t xml:space="preserve">Convert workbook to CSV using the practice conversion script.</w:t>
      </w:r>
    </w:p>
    <w:p>
      <w:pPr>
        <w:spacing w:after="60"/>
        <w:ind w:left="360"/>
      </w:pPr>
      <w:r>
        <w:rPr>
          <w:rFonts w:ascii="Calibri" w:cs="Calibri" w:eastAsia="Calibri" w:hAnsi="Calibri"/>
          <w:color w:val="0D9488"/>
          <w:sz w:val="22"/>
          <w:szCs w:val="22"/>
        </w:rPr>
        <w:t xml:space="preserve">☐  </w:t>
      </w:r>
      <w:r>
        <w:rPr>
          <w:rFonts w:ascii="Calibri" w:cs="Calibri" w:eastAsia="Calibri" w:hAnsi="Calibri"/>
          <w:color w:val="1E293B"/>
          <w:sz w:val="22"/>
          <w:szCs w:val="22"/>
        </w:rPr>
        <w:t xml:space="preserve">Load CSV to staging tables in sub-prod.</w:t>
      </w:r>
    </w:p>
    <w:p>
      <w:pPr>
        <w:spacing w:after="60"/>
        <w:ind w:left="360"/>
      </w:pPr>
      <w:r>
        <w:rPr>
          <w:rFonts w:ascii="Calibri" w:cs="Calibri" w:eastAsia="Calibri" w:hAnsi="Calibri"/>
          <w:color w:val="0D9488"/>
          <w:sz w:val="22"/>
          <w:szCs w:val="22"/>
        </w:rPr>
        <w:t xml:space="preserve">☐  </w:t>
      </w:r>
      <w:r>
        <w:rPr>
          <w:rFonts w:ascii="Calibri" w:cs="Calibri" w:eastAsia="Calibri" w:hAnsi="Calibri"/>
          <w:color w:val="1E293B"/>
          <w:sz w:val="22"/>
          <w:szCs w:val="22"/>
        </w:rPr>
        <w:t xml:space="preserve">Run the Transform Map.</w:t>
      </w:r>
    </w:p>
    <w:p>
      <w:pPr>
        <w:spacing w:after="60"/>
        <w:ind w:left="360"/>
      </w:pPr>
      <w:r>
        <w:rPr>
          <w:rFonts w:ascii="Calibri" w:cs="Calibri" w:eastAsia="Calibri" w:hAnsi="Calibri"/>
          <w:color w:val="0D9488"/>
          <w:sz w:val="22"/>
          <w:szCs w:val="22"/>
        </w:rPr>
        <w:t xml:space="preserve">☐  </w:t>
      </w:r>
      <w:r>
        <w:rPr>
          <w:rFonts w:ascii="Calibri" w:cs="Calibri" w:eastAsia="Calibri" w:hAnsi="Calibri"/>
          <w:color w:val="1E293B"/>
          <w:sz w:val="22"/>
          <w:szCs w:val="22"/>
        </w:rPr>
        <w:t xml:space="preserve">Execute the smoke test.</w:t>
      </w:r>
    </w:p>
    <w:p>
      <w:pPr>
        <w:spacing w:after="60"/>
        <w:ind w:left="360"/>
      </w:pPr>
      <w:r>
        <w:rPr>
          <w:rFonts w:ascii="Calibri" w:cs="Calibri" w:eastAsia="Calibri" w:hAnsi="Calibri"/>
          <w:color w:val="0D9488"/>
          <w:sz w:val="22"/>
          <w:szCs w:val="22"/>
        </w:rPr>
        <w:t xml:space="preserve">☐  </w:t>
      </w:r>
      <w:r>
        <w:rPr>
          <w:rFonts w:ascii="Calibri" w:cs="Calibri" w:eastAsia="Calibri" w:hAnsi="Calibri"/>
          <w:color w:val="1E293B"/>
          <w:sz w:val="22"/>
          <w:szCs w:val="22"/>
        </w:rPr>
        <w:t xml:space="preserve">Document any deviations or manual steps in the engagement's Pack import log.</w:t>
      </w:r>
    </w:p>
    <w:p>
      <w:pPr>
        <w:spacing w:after="60"/>
        <w:ind w:left="360"/>
      </w:pPr>
      <w:r>
        <w:rPr>
          <w:rFonts w:ascii="Calibri" w:cs="Calibri" w:eastAsia="Calibri" w:hAnsi="Calibri"/>
          <w:color w:val="0D9488"/>
          <w:sz w:val="22"/>
          <w:szCs w:val="22"/>
        </w:rPr>
        <w:t xml:space="preserve">☐  </w:t>
      </w:r>
      <w:r>
        <w:rPr>
          <w:rFonts w:ascii="Calibri" w:cs="Calibri" w:eastAsia="Calibri" w:hAnsi="Calibri"/>
          <w:color w:val="1E293B"/>
          <w:sz w:val="22"/>
          <w:szCs w:val="22"/>
        </w:rPr>
        <w:t xml:space="preserve">Update Set ready for promotion.</w:t>
      </w:r>
    </w:p>
    <w:p>
      <w:pPr>
        <w:pStyle w:val="Heading2"/>
        <w:spacing w:after="120" w:before="240"/>
      </w:pPr>
      <w:r>
        <w:rPr>
          <w:rFonts w:ascii="Calibri" w:cs="Calibri" w:eastAsia="Calibri" w:hAnsi="Calibri"/>
          <w:b/>
          <w:bCs/>
          <w:color w:val="0B1F3A"/>
          <w:sz w:val="26"/>
          <w:szCs w:val="26"/>
        </w:rPr>
        <w:t xml:space="preserve">When closing an engagement</w:t>
      </w:r>
    </w:p>
    <w:p>
      <w:pPr>
        <w:spacing w:after="60"/>
        <w:ind w:left="360"/>
      </w:pPr>
      <w:r>
        <w:rPr>
          <w:rFonts w:ascii="Calibri" w:cs="Calibri" w:eastAsia="Calibri" w:hAnsi="Calibri"/>
          <w:color w:val="0D9488"/>
          <w:sz w:val="22"/>
          <w:szCs w:val="22"/>
        </w:rPr>
        <w:t xml:space="preserve">☐  </w:t>
      </w:r>
      <w:r>
        <w:rPr>
          <w:rFonts w:ascii="Calibri" w:cs="Calibri" w:eastAsia="Calibri" w:hAnsi="Calibri"/>
          <w:color w:val="1E293B"/>
          <w:sz w:val="22"/>
          <w:szCs w:val="22"/>
        </w:rPr>
        <w:t xml:space="preserve">Document Pack feedback (what worked, what didn't, per workbook).</w:t>
      </w:r>
    </w:p>
    <w:p>
      <w:pPr>
        <w:spacing w:after="60"/>
        <w:ind w:left="360"/>
      </w:pPr>
      <w:r>
        <w:rPr>
          <w:rFonts w:ascii="Calibri" w:cs="Calibri" w:eastAsia="Calibri" w:hAnsi="Calibri"/>
          <w:color w:val="0D9488"/>
          <w:sz w:val="22"/>
          <w:szCs w:val="22"/>
        </w:rPr>
        <w:t xml:space="preserve">☐  </w:t>
      </w:r>
      <w:r>
        <w:rPr>
          <w:rFonts w:ascii="Calibri" w:cs="Calibri" w:eastAsia="Calibri" w:hAnsi="Calibri"/>
          <w:color w:val="1E293B"/>
          <w:sz w:val="22"/>
          <w:szCs w:val="22"/>
        </w:rPr>
        <w:t xml:space="preserve">Capture customer feedback survey results.</w:t>
      </w:r>
    </w:p>
    <w:p>
      <w:pPr>
        <w:spacing w:after="60"/>
        <w:ind w:left="360"/>
      </w:pPr>
      <w:r>
        <w:rPr>
          <w:rFonts w:ascii="Calibri" w:cs="Calibri" w:eastAsia="Calibri" w:hAnsi="Calibri"/>
          <w:color w:val="0D9488"/>
          <w:sz w:val="22"/>
          <w:szCs w:val="22"/>
        </w:rPr>
        <w:t xml:space="preserve">☐  </w:t>
      </w:r>
      <w:r>
        <w:rPr>
          <w:rFonts w:ascii="Calibri" w:cs="Calibri" w:eastAsia="Calibri" w:hAnsi="Calibri"/>
          <w:color w:val="1E293B"/>
          <w:sz w:val="22"/>
          <w:szCs w:val="22"/>
        </w:rPr>
        <w:t xml:space="preserve">Identify recurring validation Errors → propose new validation rules.</w:t>
      </w:r>
    </w:p>
    <w:p>
      <w:pPr>
        <w:spacing w:after="60"/>
        <w:ind w:left="360"/>
      </w:pPr>
      <w:r>
        <w:rPr>
          <w:rFonts w:ascii="Calibri" w:cs="Calibri" w:eastAsia="Calibri" w:hAnsi="Calibri"/>
          <w:color w:val="0D9488"/>
          <w:sz w:val="22"/>
          <w:szCs w:val="22"/>
        </w:rPr>
        <w:t xml:space="preserve">☐  </w:t>
      </w:r>
      <w:r>
        <w:rPr>
          <w:rFonts w:ascii="Calibri" w:cs="Calibri" w:eastAsia="Calibri" w:hAnsi="Calibri"/>
          <w:color w:val="1E293B"/>
          <w:sz w:val="22"/>
          <w:szCs w:val="22"/>
        </w:rPr>
        <w:t xml:space="preserve">Identify recurring customer questions → propose new FAQ entries.</w:t>
      </w:r>
    </w:p>
    <w:p>
      <w:pPr>
        <w:spacing w:after="60"/>
        <w:ind w:left="360"/>
      </w:pPr>
      <w:r>
        <w:rPr>
          <w:rFonts w:ascii="Calibri" w:cs="Calibri" w:eastAsia="Calibri" w:hAnsi="Calibri"/>
          <w:color w:val="0D9488"/>
          <w:sz w:val="22"/>
          <w:szCs w:val="22"/>
        </w:rPr>
        <w:t xml:space="preserve">☐  </w:t>
      </w:r>
      <w:r>
        <w:rPr>
          <w:rFonts w:ascii="Calibri" w:cs="Calibri" w:eastAsia="Calibri" w:hAnsi="Calibri"/>
          <w:color w:val="1E293B"/>
          <w:sz w:val="22"/>
          <w:szCs w:val="22"/>
        </w:rPr>
        <w:t xml:space="preserve">Propose Pack version bump (patch or minor) to the Practice Lead.</w:t>
      </w:r>
    </w:p>
    <w:p>
      <w:pPr>
        <w:spacing w:after="60"/>
        <w:ind w:left="360"/>
      </w:pPr>
      <w:r>
        <w:rPr>
          <w:rFonts w:ascii="Calibri" w:cs="Calibri" w:eastAsia="Calibri" w:hAnsi="Calibri"/>
          <w:color w:val="0D9488"/>
          <w:sz w:val="22"/>
          <w:szCs w:val="22"/>
        </w:rPr>
        <w:t xml:space="preserve">☐  </w:t>
      </w:r>
      <w:r>
        <w:rPr>
          <w:rFonts w:ascii="Calibri" w:cs="Calibri" w:eastAsia="Calibri" w:hAnsi="Calibri"/>
          <w:color w:val="1E293B"/>
          <w:sz w:val="22"/>
          <w:szCs w:val="22"/>
        </w:rPr>
        <w:t xml:space="preserve">Submit Pack updates to source control with engagement reference.</w:t>
      </w:r>
    </w:p>
    <w:p>
      <w:pPr>
        <w:pStyle w:val="Heading1"/>
        <w:spacing w:after="180" w:before="360"/>
      </w:pPr>
      <w:r>
        <w:rPr>
          <w:rFonts w:ascii="Calibri" w:cs="Calibri" w:eastAsia="Calibri" w:hAnsi="Calibri"/>
          <w:b/>
          <w:bCs/>
          <w:color w:val="0B1F3A"/>
          <w:sz w:val="32"/>
          <w:szCs w:val="32"/>
        </w:rPr>
        <w:t xml:space="preserve">Closing Note</w:t>
      </w:r>
    </w:p>
    <w:p>
      <w:pPr>
        <w:spacing w:after="120"/>
      </w:pPr>
      <w:r>
        <w:rPr>
          <w:rFonts w:ascii="Calibri" w:cs="Calibri" w:eastAsia="Calibri" w:hAnsi="Calibri"/>
          <w:color w:val="1E293B"/>
          <w:sz w:val="22"/>
          <w:szCs w:val="22"/>
        </w:rPr>
        <w:t xml:space="preserve">The Accelerator Pack is the artifact that turns a published ServiceNow Success Pack into something a delivery team can actually run an engagement against. Built well, it makes the difference between Sprint 1 spent gathering data and Sprint 1 spent configuring the platform. Built poorly, it becomes a homework assignment the customer never quite completes — and the engagement starts a sprint behind.</w:t>
      </w:r>
    </w:p>
    <w:p>
      <w:pPr>
        <w:spacing w:after="120"/>
      </w:pPr>
      <w:r>
        <w:rPr>
          <w:rFonts w:ascii="Calibri" w:cs="Calibri" w:eastAsia="Calibri" w:hAnsi="Calibri"/>
          <w:color w:val="1E293B"/>
          <w:sz w:val="22"/>
          <w:szCs w:val="22"/>
        </w:rPr>
        <w:t xml:space="preserve">This blueprint is the practice-wide standard. Refine it engagement-by-engagement; bring lessons back to the quarterly review; and treat the Pack library as the practice's most-leveraged delivery asset — because it is.</w:t>
      </w:r>
    </w:p>
    <w:sectPr>
      <w:headerReference w:type="default" r:id="rId7"/>
      <w:footerReference w:type="default" r:id="rId8"/>
      <w:pgSz w:w="12240" w:h="15840" w:orient="portrait"/>
      <w:pgMar w:top="1620" w:right="1440" w:bottom="1440" w:left="1440" w:header="720" w:footer="576"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Calibri" w:cs="Calibri" w:eastAsia="Calibri" w:hAnsi="Calibri"/>
        <w:color w:val="475569"/>
        <w:sz w:val="16"/>
        <w:szCs w:val="16"/>
      </w:rPr>
      <w:t xml:space="preserve">ECS Federal · ServiceNow Practice  ·  Internal Use Only</w:t>
    </w:r>
    <w:r>
      <w:rPr>
        <w:rFonts w:ascii="Calibri" w:cs="Calibri" w:eastAsia="Calibri" w:hAnsi="Calibri"/>
      </w:rPr>
      <w:t xml:space="preserve">	</w:t>
    </w:r>
    <w:r>
      <w:rPr>
        <w:rFonts w:ascii="Calibri" w:cs="Calibri" w:eastAsia="Calibri" w:hAnsi="Calibri"/>
        <w:color w:val="475569"/>
        <w:sz w:val="16"/>
        <w:szCs w:val="16"/>
      </w:rPr>
      <w:t xml:space="preserve">Page </w:t>
    </w:r>
    <w:r>
      <w:rPr>
        <w:rFonts w:ascii="Calibri" w:cs="Calibri" w:eastAsia="Calibri" w:hAnsi="Calibri"/>
        <w:color w:val="47556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drawing>
        <wp:inline distT="0" distB="0" distL="0" distR="0">
          <wp:extent cx="1047750" cy="200025"/>
          <wp:effectExtent t="0" r="0" b="0" l="0"/>
          <wp:docPr id="1" name="Logo" descr="Everforth ECS Federal logo" title="Everforth ECS Fede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47750" cy="200025"/>
                  </a:xfrm>
                  <a:prstGeom prst="rect">
                    <a:avLst/>
                  </a:prstGeom>
                </pic:spPr>
              </pic:pic>
            </a:graphicData>
          </a:graphic>
        </wp:inline>
      </w:drawing>
    </w:r>
    <w:r>
      <w:rPr>
        <w:rFonts w:ascii="Calibri" w:cs="Calibri" w:eastAsia="Calibri" w:hAnsi="Calibri"/>
      </w:rPr>
      <w:t xml:space="preserve">	</w:t>
    </w:r>
    <w:r>
      <w:rPr>
        <w:rFonts w:ascii="Calibri" w:cs="Calibri" w:eastAsia="Calibri" w:hAnsi="Calibri"/>
        <w:color w:val="475569"/>
        <w:spacing w:val="30"/>
        <w:sz w:val="18"/>
        <w:szCs w:val="18"/>
      </w:rPr>
      <w:t xml:space="preserve">Internal  ·  Accelerator Pack Blueprint</w:t>
    </w:r>
  </w:p>
  <w:p>
    <w:pPr>
      <w:pBdr>
        <w:bottom w:val="single" w:color="14B8A6" w:sz="8" w:space="1"/>
      </w:pBdr>
      <w:spacing w:before="60"/>
    </w:pPr>
    <w:r>
      <w:rPr>
        <w:sz w:val="4"/>
        <w:szCs w:val="4"/>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0B1F3A"/>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0B1F3A"/>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0D9488"/>
      <w:sz w:val="22"/>
      <w:szCs w:val="22"/>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endnotes" Target="endnotes.xml"/><Relationship Id="rId9" Type="http://schemas.openxmlformats.org/officeDocument/2006/relationships/image" Target="media/154846f4066746b49259fb08f2a83d17c2a67096.png"/><Relationship Id="rId14" Type="http://schemas.openxmlformats.org/officeDocument/2006/relationships/customXml" Target="../customXml/item4.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54846f4066746b49259fb08f2a83d17c2a67096.pn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C18AF536E63484A9B73CECC96E010FF" ma:contentTypeVersion="19" ma:contentTypeDescription="Create a new document." ma:contentTypeScope="" ma:versionID="33422ae79d2a315b8c303e9c27e5a991">
  <xsd:schema xmlns:xsd="http://www.w3.org/2001/XMLSchema" xmlns:xs="http://www.w3.org/2001/XMLSchema" xmlns:p="http://schemas.microsoft.com/office/2006/metadata/properties" xmlns:ns2="d1ffb523-bb88-49c4-b429-725e751bd64a" xmlns:ns3="ea10e7c1-45f6-45a6-9220-470b2ac38f45" targetNamespace="http://schemas.microsoft.com/office/2006/metadata/properties" ma:root="true" ma:fieldsID="02f734f998161832bfcf327b16e32379" ns2:_="" ns3:_="">
    <xsd:import namespace="d1ffb523-bb88-49c4-b429-725e751bd64a"/>
    <xsd:import namespace="ea10e7c1-45f6-45a6-9220-470b2ac38f4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2:MediaServiceDateTaken" minOccurs="0"/>
                <xsd:element ref="ns2:MediaServiceLocation" minOccurs="0"/>
                <xsd:element ref="ns2:MediaLengthInSeconds" minOccurs="0"/>
                <xsd:element ref="ns2:SN_x0020_Document_x0020_ID"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3:_dlc_DocId" minOccurs="0"/>
                <xsd:element ref="ns3:_dlc_DocIdUrl" minOccurs="0"/>
                <xsd:element ref="ns3:_dlc_DocIdPersistId"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fb523-bb88-49c4-b429-725e751bd6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SN_x0020_Document_x0020_ID" ma:index="19" nillable="true" ma:displayName="SN Document ID" ma:internalName="SN_x0020_Document_x0020_ID">
      <xsd:simpleType>
        <xsd:restriction base="dms:Text">
          <xsd:maxLength value="255"/>
        </xsd:restriction>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4d9e1cf0-734a-42bd-bffb-729eb9a511c1" ma:termSetId="09814cd3-568e-fe90-9814-8d621ff8fb84" ma:anchorId="fba54fb3-c3e1-fe81-a776-ca4b69148c4d" ma:open="true" ma:isKeyword="false">
      <xsd:complexType>
        <xsd:sequence>
          <xsd:element ref="pc:Terms" minOccurs="0" maxOccurs="1"/>
        </xsd:sequence>
      </xsd:complex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a10e7c1-45f6-45a6-9220-470b2ac38f45" elementFormDefault="qualified">
    <xsd:import namespace="http://schemas.microsoft.com/office/2006/documentManagement/types"/>
    <xsd:import namespace="http://schemas.microsoft.com/office/infopath/2007/PartnerControls"/>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d7da812-b143-4bf6-b650-654521c20479}" ma:internalName="TaxCatchAll" ma:showField="CatchAllData" ma:web="ea10e7c1-45f6-45a6-9220-470b2ac38f45">
      <xsd:complexType>
        <xsd:complexContent>
          <xsd:extension base="dms:MultiChoiceLookup">
            <xsd:sequence>
              <xsd:element name="Value" type="dms:Lookup" maxOccurs="unbounded" minOccurs="0" nillable="true"/>
            </xsd:sequence>
          </xsd:extension>
        </xsd:complexContent>
      </xsd:complexType>
    </xsd:element>
    <xsd:element name="_dlc_DocId" ma:index="26" nillable="true" ma:displayName="Document ID Value" ma:description="The value of the document ID assigned to this item." ma:indexed="true" ma:internalName="_dlc_DocId" ma:readOnly="true">
      <xsd:simpleType>
        <xsd:restriction base="dms:Text"/>
      </xsd:simpleType>
    </xsd:element>
    <xsd:element name="_dlc_DocIdUrl" ma:index="27"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8"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N_x0020_Document_x0020_ID xmlns="d1ffb523-bb88-49c4-b429-725e751bd64a" xsi:nil="true"/>
    <TaxCatchAll xmlns="ea10e7c1-45f6-45a6-9220-470b2ac38f45" xsi:nil="true"/>
    <lcf76f155ced4ddcb4097134ff3c332f xmlns="d1ffb523-bb88-49c4-b429-725e751bd64a">
      <Terms xmlns="http://schemas.microsoft.com/office/infopath/2007/PartnerControls"/>
    </lcf76f155ced4ddcb4097134ff3c332f>
    <_dlc_DocId xmlns="ea10e7c1-45f6-45a6-9220-470b2ac38f45">DOCID-202112391-25587</_dlc_DocId>
    <_dlc_DocIdUrl xmlns="ea10e7c1-45f6-45a6-9220-470b2ac38f45">
      <Url>https://itecsfederal.sharepoint.com/teams/MissionSolutions/ISM/_layouts/15/DocIdRedir.aspx?ID=DOCID-202112391-25587</Url>
      <Description>DOCID-202112391-25587</Description>
    </_dlc_DocIdUrl>
  </documentManagement>
</p:properties>
</file>

<file path=customXml/itemProps1.xml><?xml version="1.0" encoding="utf-8"?>
<ds:datastoreItem xmlns:ds="http://schemas.openxmlformats.org/officeDocument/2006/customXml" ds:itemID="{FBAC8AFE-E1FD-428F-84AB-CF4E1A55D199}"/>
</file>

<file path=customXml/itemProps2.xml><?xml version="1.0" encoding="utf-8"?>
<ds:datastoreItem xmlns:ds="http://schemas.openxmlformats.org/officeDocument/2006/customXml" ds:itemID="{FA76BBD0-2A34-4031-9E5D-2FA40AA4E3C1}"/>
</file>

<file path=customXml/itemProps3.xml><?xml version="1.0" encoding="utf-8"?>
<ds:datastoreItem xmlns:ds="http://schemas.openxmlformats.org/officeDocument/2006/customXml" ds:itemID="{E6A40BBD-B036-4878-BC12-FD2E7579477A}"/>
</file>

<file path=customXml/itemProps4.xml><?xml version="1.0" encoding="utf-8"?>
<ds:datastoreItem xmlns:ds="http://schemas.openxmlformats.org/officeDocument/2006/customXml" ds:itemID="{765EA48C-527A-4CE4-A76D-89E131CFBD4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ECS Accelerator Pack Blueprint</dc:title>
  <dc:creator>ECS Federal · ServiceNow Practice</dc:creator>
  <cp:lastModifiedBy>Un-named</cp:lastModifiedBy>
  <cp:revision>1</cp:revision>
  <dcterms:created xsi:type="dcterms:W3CDTF">2026-05-03T03:34:12Z</dcterms:created>
  <dcterms:modified xsi:type="dcterms:W3CDTF">2026-05-03T03:34:12Z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0x010100DC18AF536E63484A9B73CECC96E010FF</vt:lpwstr>
  </property>
  <property fmtid="{D5CDD505-2E9C-101B-9397-08002B2CF9AE}" pid="3" name="_dlc_DocIdItemGuid">
    <vt:lpwstr>00b59aae-3e2d-499c-9500-62ff28ef0842</vt:lpwstr>
  </property>
  <property fmtid="{D5CDD505-2E9C-101B-9397-08002B2CF9AE}" pid="4" name="MediaServiceImageTags">
    <vt:lpwstr/>
  </property>
</Properties>
</file>