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093976" cy="389045"/>
            <wp:docPr id="1" name="Picture 1"/>
            <wp:cNvGraphicFramePr>
              <a:graphicFrameLocks noChangeAspect="1"/>
            </wp:cNvGraphicFramePr>
            <a:graphic>
              <a:graphicData uri="http://schemas.openxmlformats.org/drawingml/2006/picture">
                <pic:pic>
                  <pic:nvPicPr>
                    <pic:cNvPr id="0" name="everforth_logo.png"/>
                    <pic:cNvPicPr/>
                  </pic:nvPicPr>
                  <pic:blipFill>
                    <a:blip r:embed="rId9"/>
                    <a:stretch>
                      <a:fillRect/>
                    </a:stretch>
                  </pic:blipFill>
                  <pic:spPr>
                    <a:xfrm>
                      <a:off x="0" y="0"/>
                      <a:ext cx="2093976" cy="389045"/>
                    </a:xfrm>
                    <a:prstGeom prst="rect"/>
                  </pic:spPr>
                </pic:pic>
              </a:graphicData>
            </a:graphic>
          </wp:inline>
        </w:drawing>
      </w:r>
    </w:p>
    <w:p>
      <w:pPr>
        <w:spacing w:before="720" w:after="240"/>
      </w:pPr>
      <w:r>
        <w:rPr>
          <w:rFonts w:ascii="Arial" w:hAnsi="Arial"/>
          <w:b/>
          <w:i w:val="0"/>
          <w:color w:val="14B8A6"/>
          <w:sz w:val="18"/>
          <w:spacing w:val="80"/>
        </w:rPr>
        <w:t>ACCELERATOR PACK</w:t>
      </w:r>
    </w:p>
    <w:p>
      <w:pPr>
        <w:spacing w:after="120"/>
      </w:pPr>
      <w:r>
        <w:rPr>
          <w:rFonts w:ascii="Arial" w:hAnsi="Arial"/>
          <w:b/>
          <w:i w:val="0"/>
          <w:color w:val="0B1F3A"/>
          <w:sz w:val="56"/>
        </w:rPr>
        <w:t>HAM Realization</w:t>
      </w:r>
    </w:p>
    <w:p>
      <w:pPr>
        <w:spacing w:after="120"/>
      </w:pPr>
      <w:r>
        <w:rPr>
          <w:rFonts w:ascii="Arial" w:hAnsi="Arial"/>
          <w:b/>
          <w:i w:val="0"/>
          <w:color w:val="0B1F3A"/>
          <w:sz w:val="56"/>
        </w:rPr>
        <w:t>Accelerator Pack — README</w:t>
      </w:r>
    </w:p>
    <w:p>
      <w:pPr>
        <w:spacing w:after="480"/>
      </w:pPr>
      <w:r>
        <w:rPr>
          <w:rFonts w:ascii="Arial" w:hAnsi="Arial"/>
          <w:b w:val="0"/>
          <w:i/>
          <w:color w:val="0D9488"/>
          <w:sz w:val="24"/>
        </w:rPr>
        <w:t>Eight workbooks. Soup-to-nuts ITAM-principled OOTB ServiceNow HAM, building on the Foundations Pack.</w:t>
      </w:r>
    </w:p>
    <w:p>
      <w:pPr>
        <w:pBdr>
          <w:bottom w:val="single" w:color="14B8A6" w:sz="12" w:space="1"/>
        </w:pBdr>
      </w:pPr>
    </w:p>
    <w:p>
      <w:pPr>
        <w:spacing w:before="200" w:after="60"/>
      </w:pPr>
      <w:r>
        <w:rPr>
          <w:rFonts w:ascii="Arial" w:hAnsi="Arial"/>
          <w:b w:val="0"/>
          <w:i w:val="0"/>
          <w:color w:val="1E293B"/>
          <w:sz w:val="22"/>
        </w:rPr>
        <w:t>ECS Federal  ·  ServiceNow Practice</w:t>
      </w:r>
    </w:p>
    <w:p>
      <w:pPr>
        <w:spacing w:after="60"/>
      </w:pPr>
      <w:r>
        <w:rPr>
          <w:rFonts w:ascii="Arial" w:hAnsi="Arial"/>
          <w:b w:val="0"/>
          <w:i w:val="0"/>
          <w:color w:val="475569"/>
          <w:sz w:val="20"/>
        </w:rPr>
        <w:t>Recipient: Customer Project Sponsor and named Asset Management SMEs</w:t>
      </w:r>
    </w:p>
    <w:p>
      <w:r>
        <w:rPr>
          <w:rFonts w:ascii="Arial" w:hAnsi="Arial"/>
          <w:b w:val="0"/>
          <w:i/>
          <w:color w:val="475569"/>
          <w:sz w:val="18"/>
        </w:rPr>
        <w:t>Confidential — for the recipient and their organization</w:t>
      </w:r>
    </w:p>
    <w:p>
      <w:r>
        <w:br w:type="page"/>
      </w:r>
    </w:p>
    <w:p>
      <w:pPr>
        <w:spacing w:before="240" w:after="120"/>
      </w:pPr>
      <w:r>
        <w:rPr>
          <w:rFonts w:ascii="Arial" w:hAnsi="Arial"/>
          <w:b/>
          <w:i w:val="0"/>
          <w:color w:val="0B1F3A"/>
          <w:sz w:val="36"/>
        </w:rPr>
        <w:t>What This Pack Is</w:t>
      </w:r>
    </w:p>
    <w:p>
      <w:r>
        <w:rPr>
          <w:rFonts w:ascii="Arial" w:hAnsi="Arial"/>
          <w:b w:val="0"/>
          <w:i w:val="0"/>
          <w:color w:val="1E293B"/>
          <w:sz w:val="22"/>
        </w:rPr>
        <w:t>This Accelerator Pack contains eight workbooks that take a ServiceNow HAM program from the baseline established by the Foundations Pack to a full, ITAM-principled, OOTB-first realization. The Pack covers the disciplines that distinguish a working stockroom system from a managed asset program: multi-stockroom strategy, full asset class and model catalog, full IMAC (Install, Move, Add, Change) lifecycle, procurement intake, disposal and retirement controls, audits and reconciliation, and the integration dependencies (SCCM, Intune, AD/Entra, HR) that keep the data honest.</w:t>
      </w:r>
    </w:p>
    <w:p>
      <w:r>
        <w:rPr>
          <w:rFonts w:ascii="Arial" w:hAnsi="Arial"/>
          <w:b w:val="0"/>
          <w:i w:val="0"/>
          <w:color w:val="1E293B"/>
          <w:sz w:val="22"/>
        </w:rPr>
        <w:t>This is the prong-two delivery in our two-prong HAM approach. The Foundations Pack proves the receive-assign-return-retire workflow on a small, real fleet. Realization scales that proof to the whole program: every device class, every stockroom, every lifecycle event, with the controls audit and finance need.</w:t>
      </w:r>
    </w:p>
    <w:p>
      <w:r>
        <w:rPr>
          <w:rFonts w:ascii="Arial" w:hAnsi="Arial"/>
          <w:b w:val="0"/>
          <w:i w:val="0"/>
          <w:color w:val="1E293B"/>
          <w:sz w:val="22"/>
        </w:rPr>
        <w:t>The Pack is OOTB-first by discipline. ServiceNow ships HAM with alm_hardware, alm_stockroom, alm_consumable, alm_asset, the IMAC workflow primitives, the Asset Management Workspace, and the Hardware Refresh Planning module. Every decision in this Pack defaults to those OOTB capabilities — customizations are negotiated against the Adoption vs Re-engineering tab in each workbook, not assumed.</w:t>
      </w:r>
    </w:p>
    <w:p>
      <w:pPr>
        <w:spacing w:before="240" w:after="120"/>
      </w:pPr>
      <w:r>
        <w:rPr>
          <w:rFonts w:ascii="Arial" w:hAnsi="Arial"/>
          <w:b/>
          <w:i w:val="0"/>
          <w:color w:val="0B1F3A"/>
          <w:sz w:val="36"/>
        </w:rPr>
        <w:t>The Eight Workbooks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val="clear" w:color="auto" w:fill="0B1F3A"/>
          </w:tcPr>
          <w:p>
            <w:r/>
            <w:r>
              <w:rPr>
                <w:rFonts w:ascii="Arial" w:hAnsi="Arial"/>
                <w:b/>
                <w:i w:val="0"/>
                <w:color w:val="FFFFFF"/>
                <w:sz w:val="20"/>
              </w:rPr>
              <w:t>#</w:t>
            </w:r>
          </w:p>
        </w:tc>
        <w:tc>
          <w:tcPr>
            <w:tcW w:type="dxa" w:w="1872"/>
            <w:shd w:val="clear" w:color="auto" w:fill="0B1F3A"/>
          </w:tcPr>
          <w:p>
            <w:r/>
            <w:r>
              <w:rPr>
                <w:rFonts w:ascii="Arial" w:hAnsi="Arial"/>
                <w:b/>
                <w:i w:val="0"/>
                <w:color w:val="FFFFFF"/>
                <w:sz w:val="20"/>
              </w:rPr>
              <w:t>Workbook</w:t>
            </w:r>
          </w:p>
        </w:tc>
        <w:tc>
          <w:tcPr>
            <w:tcW w:type="dxa" w:w="1872"/>
            <w:shd w:val="clear" w:color="auto" w:fill="0B1F3A"/>
          </w:tcPr>
          <w:p>
            <w:r/>
            <w:r>
              <w:rPr>
                <w:rFonts w:ascii="Arial" w:hAnsi="Arial"/>
                <w:b/>
                <w:i w:val="0"/>
                <w:color w:val="FFFFFF"/>
                <w:sz w:val="20"/>
              </w:rPr>
              <w:t>What it Captures</w:t>
            </w:r>
          </w:p>
        </w:tc>
        <w:tc>
          <w:tcPr>
            <w:tcW w:type="dxa" w:w="1872"/>
            <w:shd w:val="clear" w:color="auto" w:fill="0B1F3A"/>
          </w:tcPr>
          <w:p>
            <w:r/>
            <w:r>
              <w:rPr>
                <w:rFonts w:ascii="Arial" w:hAnsi="Arial"/>
                <w:b/>
                <w:i w:val="0"/>
                <w:color w:val="FFFFFF"/>
                <w:sz w:val="20"/>
              </w:rPr>
              <w:t>Customer Owner</w:t>
            </w:r>
          </w:p>
        </w:tc>
        <w:tc>
          <w:tcPr>
            <w:tcW w:type="dxa" w:w="1872"/>
            <w:shd w:val="clear" w:color="auto" w:fill="0B1F3A"/>
          </w:tcPr>
          <w:p>
            <w:r/>
            <w:r>
              <w:rPr>
                <w:rFonts w:ascii="Arial" w:hAnsi="Arial"/>
                <w:b/>
                <w:i w:val="0"/>
                <w:color w:val="FFFFFF"/>
                <w:sz w:val="20"/>
              </w:rPr>
              <w:t>Due</w:t>
            </w:r>
          </w:p>
        </w:tc>
      </w:tr>
      <w:tr>
        <w:tc>
          <w:tcPr>
            <w:tcW w:type="dxa" w:w="1872"/>
            <w:shd w:val="clear" w:color="auto" w:fill="F1F5F9"/>
          </w:tcPr>
          <w:p>
            <w:r/>
            <w:r>
              <w:rPr>
                <w:rFonts w:ascii="Arial" w:hAnsi="Arial"/>
                <w:b w:val="0"/>
                <w:i w:val="0"/>
                <w:color w:val="1E293B"/>
                <w:sz w:val="20"/>
              </w:rPr>
              <w:t>01</w:t>
            </w:r>
          </w:p>
        </w:tc>
        <w:tc>
          <w:tcPr>
            <w:tcW w:type="dxa" w:w="1872"/>
            <w:shd w:val="clear" w:color="auto" w:fill="F1F5F9"/>
          </w:tcPr>
          <w:p>
            <w:r/>
            <w:r>
              <w:rPr>
                <w:rFonts w:ascii="Arial" w:hAnsi="Arial"/>
                <w:b w:val="0"/>
                <w:i w:val="0"/>
                <w:color w:val="1E293B"/>
                <w:sz w:val="20"/>
              </w:rPr>
              <w:t>Stockroom Strategy</w:t>
            </w:r>
          </w:p>
        </w:tc>
        <w:tc>
          <w:tcPr>
            <w:tcW w:type="dxa" w:w="1872"/>
            <w:shd w:val="clear" w:color="auto" w:fill="F1F5F9"/>
          </w:tcPr>
          <w:p>
            <w:r/>
            <w:r>
              <w:rPr>
                <w:rFonts w:ascii="Arial" w:hAnsi="Arial"/>
                <w:b w:val="0"/>
                <w:i w:val="0"/>
                <w:color w:val="1E293B"/>
                <w:sz w:val="20"/>
              </w:rPr>
              <w:t>Multi-stockroom design: hierarchy, transfers, in-transit, repair, capacity rules</w:t>
            </w:r>
          </w:p>
        </w:tc>
        <w:tc>
          <w:tcPr>
            <w:tcW w:type="dxa" w:w="1872"/>
            <w:shd w:val="clear" w:color="auto" w:fill="F1F5F9"/>
          </w:tcPr>
          <w:p>
            <w:r/>
            <w:r>
              <w:rPr>
                <w:rFonts w:ascii="Arial" w:hAnsi="Arial"/>
                <w:b w:val="0"/>
                <w:i w:val="0"/>
                <w:color w:val="1E293B"/>
                <w:sz w:val="20"/>
              </w:rPr>
              <w:t>HAM Process Owner</w:t>
            </w:r>
          </w:p>
        </w:tc>
        <w:tc>
          <w:tcPr>
            <w:tcW w:type="dxa" w:w="1872"/>
            <w:shd w:val="clear" w:color="auto" w:fill="F1F5F9"/>
          </w:tcPr>
          <w:p>
            <w:r/>
            <w:r>
              <w:rPr>
                <w:rFonts w:ascii="Arial" w:hAnsi="Arial"/>
                <w:b w:val="0"/>
                <w:i w:val="0"/>
                <w:color w:val="1E293B"/>
                <w:sz w:val="20"/>
              </w:rPr>
              <w:t>End of Sprint 2, Wk 1</w:t>
            </w:r>
          </w:p>
        </w:tc>
      </w:tr>
      <w:tr>
        <w:tc>
          <w:tcPr>
            <w:tcW w:type="dxa" w:w="1872"/>
          </w:tcPr>
          <w:p>
            <w:r/>
            <w:r>
              <w:rPr>
                <w:rFonts w:ascii="Arial" w:hAnsi="Arial"/>
                <w:b w:val="0"/>
                <w:i w:val="0"/>
                <w:color w:val="1E293B"/>
                <w:sz w:val="20"/>
              </w:rPr>
              <w:t>02</w:t>
            </w:r>
          </w:p>
        </w:tc>
        <w:tc>
          <w:tcPr>
            <w:tcW w:type="dxa" w:w="1872"/>
          </w:tcPr>
          <w:p>
            <w:r/>
            <w:r>
              <w:rPr>
                <w:rFonts w:ascii="Arial" w:hAnsi="Arial"/>
                <w:b w:val="0"/>
                <w:i w:val="0"/>
                <w:color w:val="1E293B"/>
                <w:sz w:val="20"/>
              </w:rPr>
              <w:t>Asset Class &amp; Model Catalog</w:t>
            </w:r>
          </w:p>
        </w:tc>
        <w:tc>
          <w:tcPr>
            <w:tcW w:type="dxa" w:w="1872"/>
          </w:tcPr>
          <w:p>
            <w:r/>
            <w:r>
              <w:rPr>
                <w:rFonts w:ascii="Arial" w:hAnsi="Arial"/>
                <w:b w:val="0"/>
                <w:i w:val="0"/>
                <w:color w:val="1E293B"/>
                <w:sz w:val="20"/>
              </w:rPr>
              <w:t>Full class scope (laptops, desktops, mobile, monitor, peripheral, network, server) and model catalog</w:t>
            </w:r>
          </w:p>
        </w:tc>
        <w:tc>
          <w:tcPr>
            <w:tcW w:type="dxa" w:w="1872"/>
          </w:tcPr>
          <w:p>
            <w:r/>
            <w:r>
              <w:rPr>
                <w:rFonts w:ascii="Arial" w:hAnsi="Arial"/>
                <w:b w:val="0"/>
                <w:i w:val="0"/>
                <w:color w:val="1E293B"/>
                <w:sz w:val="20"/>
              </w:rPr>
              <w:t>HAM Process Owner</w:t>
            </w:r>
          </w:p>
        </w:tc>
        <w:tc>
          <w:tcPr>
            <w:tcW w:type="dxa" w:w="1872"/>
          </w:tcPr>
          <w:p>
            <w:r/>
            <w:r>
              <w:rPr>
                <w:rFonts w:ascii="Arial" w:hAnsi="Arial"/>
                <w:b w:val="0"/>
                <w:i w:val="0"/>
                <w:color w:val="1E293B"/>
                <w:sz w:val="20"/>
              </w:rPr>
              <w:t>End of Sprint 2, Wk 2</w:t>
            </w:r>
          </w:p>
        </w:tc>
      </w:tr>
      <w:tr>
        <w:tc>
          <w:tcPr>
            <w:tcW w:type="dxa" w:w="1872"/>
            <w:shd w:val="clear" w:color="auto" w:fill="F1F5F9"/>
          </w:tcPr>
          <w:p>
            <w:r/>
            <w:r>
              <w:rPr>
                <w:rFonts w:ascii="Arial" w:hAnsi="Arial"/>
                <w:b w:val="0"/>
                <w:i w:val="0"/>
                <w:color w:val="1E293B"/>
                <w:sz w:val="20"/>
              </w:rPr>
              <w:t>03</w:t>
            </w:r>
          </w:p>
        </w:tc>
        <w:tc>
          <w:tcPr>
            <w:tcW w:type="dxa" w:w="1872"/>
            <w:shd w:val="clear" w:color="auto" w:fill="F1F5F9"/>
          </w:tcPr>
          <w:p>
            <w:r/>
            <w:r>
              <w:rPr>
                <w:rFonts w:ascii="Arial" w:hAnsi="Arial"/>
                <w:b w:val="0"/>
                <w:i w:val="0"/>
                <w:color w:val="1E293B"/>
                <w:sz w:val="20"/>
              </w:rPr>
              <w:t>Lifecycle &amp; IMAC States</w:t>
            </w:r>
          </w:p>
        </w:tc>
        <w:tc>
          <w:tcPr>
            <w:tcW w:type="dxa" w:w="1872"/>
            <w:shd w:val="clear" w:color="auto" w:fill="F1F5F9"/>
          </w:tcPr>
          <w:p>
            <w:r/>
            <w:r>
              <w:rPr>
                <w:rFonts w:ascii="Arial" w:hAnsi="Arial"/>
                <w:b w:val="0"/>
                <w:i w:val="0"/>
                <w:color w:val="1E293B"/>
                <w:sz w:val="20"/>
              </w:rPr>
              <w:t>Full lifecycle states including Install / Move / Add / Change phases, hold reasons, terminal states</w:t>
            </w:r>
          </w:p>
        </w:tc>
        <w:tc>
          <w:tcPr>
            <w:tcW w:type="dxa" w:w="1872"/>
            <w:shd w:val="clear" w:color="auto" w:fill="F1F5F9"/>
          </w:tcPr>
          <w:p>
            <w:r/>
            <w:r>
              <w:rPr>
                <w:rFonts w:ascii="Arial" w:hAnsi="Arial"/>
                <w:b w:val="0"/>
                <w:i w:val="0"/>
                <w:color w:val="1E293B"/>
                <w:sz w:val="20"/>
              </w:rPr>
              <w:t>HAM Process Owner + IT Service Manager</w:t>
            </w:r>
          </w:p>
        </w:tc>
        <w:tc>
          <w:tcPr>
            <w:tcW w:type="dxa" w:w="1872"/>
            <w:shd w:val="clear" w:color="auto" w:fill="F1F5F9"/>
          </w:tcPr>
          <w:p>
            <w:r/>
            <w:r>
              <w:rPr>
                <w:rFonts w:ascii="Arial" w:hAnsi="Arial"/>
                <w:b w:val="0"/>
                <w:i w:val="0"/>
                <w:color w:val="1E293B"/>
                <w:sz w:val="20"/>
              </w:rPr>
              <w:t>End of Sprint 2, Wk 2</w:t>
            </w:r>
          </w:p>
        </w:tc>
      </w:tr>
      <w:tr>
        <w:tc>
          <w:tcPr>
            <w:tcW w:type="dxa" w:w="1872"/>
          </w:tcPr>
          <w:p>
            <w:r/>
            <w:r>
              <w:rPr>
                <w:rFonts w:ascii="Arial" w:hAnsi="Arial"/>
                <w:b w:val="0"/>
                <w:i w:val="0"/>
                <w:color w:val="1E293B"/>
                <w:sz w:val="20"/>
              </w:rPr>
              <w:t>04</w:t>
            </w:r>
          </w:p>
        </w:tc>
        <w:tc>
          <w:tcPr>
            <w:tcW w:type="dxa" w:w="1872"/>
          </w:tcPr>
          <w:p>
            <w:r/>
            <w:r>
              <w:rPr>
                <w:rFonts w:ascii="Arial" w:hAnsi="Arial"/>
                <w:b w:val="0"/>
                <w:i w:val="0"/>
                <w:color w:val="1E293B"/>
                <w:sz w:val="20"/>
              </w:rPr>
              <w:t>IMAC Workflows</w:t>
            </w:r>
          </w:p>
        </w:tc>
        <w:tc>
          <w:tcPr>
            <w:tcW w:type="dxa" w:w="1872"/>
          </w:tcPr>
          <w:p>
            <w:r/>
            <w:r>
              <w:rPr>
                <w:rFonts w:ascii="Arial" w:hAnsi="Arial"/>
                <w:b w:val="0"/>
                <w:i w:val="0"/>
                <w:color w:val="1E293B"/>
                <w:sz w:val="20"/>
              </w:rPr>
              <w:t>Workflow definitions for Install, Move, Add, Change events — Flow Designer flows, approvals, notifications</w:t>
            </w:r>
          </w:p>
        </w:tc>
        <w:tc>
          <w:tcPr>
            <w:tcW w:type="dxa" w:w="1872"/>
          </w:tcPr>
          <w:p>
            <w:r/>
            <w:r>
              <w:rPr>
                <w:rFonts w:ascii="Arial" w:hAnsi="Arial"/>
                <w:b w:val="0"/>
                <w:i w:val="0"/>
                <w:color w:val="1E293B"/>
                <w:sz w:val="20"/>
              </w:rPr>
              <w:t>HAM Process Owner + Service Desk Manager</w:t>
            </w:r>
          </w:p>
        </w:tc>
        <w:tc>
          <w:tcPr>
            <w:tcW w:type="dxa" w:w="1872"/>
          </w:tcPr>
          <w:p>
            <w:r/>
            <w:r>
              <w:rPr>
                <w:rFonts w:ascii="Arial" w:hAnsi="Arial"/>
                <w:b w:val="0"/>
                <w:i w:val="0"/>
                <w:color w:val="1E293B"/>
                <w:sz w:val="20"/>
              </w:rPr>
              <w:t>End of Sprint 3, Wk 1</w:t>
            </w:r>
          </w:p>
        </w:tc>
      </w:tr>
      <w:tr>
        <w:tc>
          <w:tcPr>
            <w:tcW w:type="dxa" w:w="1872"/>
            <w:shd w:val="clear" w:color="auto" w:fill="F1F5F9"/>
          </w:tcPr>
          <w:p>
            <w:r/>
            <w:r>
              <w:rPr>
                <w:rFonts w:ascii="Arial" w:hAnsi="Arial"/>
                <w:b w:val="0"/>
                <w:i w:val="0"/>
                <w:color w:val="1E293B"/>
                <w:sz w:val="20"/>
              </w:rPr>
              <w:t>05</w:t>
            </w:r>
          </w:p>
        </w:tc>
        <w:tc>
          <w:tcPr>
            <w:tcW w:type="dxa" w:w="1872"/>
            <w:shd w:val="clear" w:color="auto" w:fill="F1F5F9"/>
          </w:tcPr>
          <w:p>
            <w:r/>
            <w:r>
              <w:rPr>
                <w:rFonts w:ascii="Arial" w:hAnsi="Arial"/>
                <w:b w:val="0"/>
                <w:i w:val="0"/>
                <w:color w:val="1E293B"/>
                <w:sz w:val="20"/>
              </w:rPr>
              <w:t>Procurement &amp; Intake</w:t>
            </w:r>
          </w:p>
        </w:tc>
        <w:tc>
          <w:tcPr>
            <w:tcW w:type="dxa" w:w="1872"/>
            <w:shd w:val="clear" w:color="auto" w:fill="F1F5F9"/>
          </w:tcPr>
          <w:p>
            <w:r/>
            <w:r>
              <w:rPr>
                <w:rFonts w:ascii="Arial" w:hAnsi="Arial"/>
                <w:b w:val="0"/>
                <w:i w:val="0"/>
                <w:color w:val="1E293B"/>
                <w:sz w:val="20"/>
              </w:rPr>
              <w:t>Procurement integration, vendor-shipped-direct, multi-step receive, PO matching</w:t>
            </w:r>
          </w:p>
        </w:tc>
        <w:tc>
          <w:tcPr>
            <w:tcW w:type="dxa" w:w="1872"/>
            <w:shd w:val="clear" w:color="auto" w:fill="F1F5F9"/>
          </w:tcPr>
          <w:p>
            <w:r/>
            <w:r>
              <w:rPr>
                <w:rFonts w:ascii="Arial" w:hAnsi="Arial"/>
                <w:b w:val="0"/>
                <w:i w:val="0"/>
                <w:color w:val="1E293B"/>
                <w:sz w:val="20"/>
              </w:rPr>
              <w:t>HAM Process Owner + Procurement</w:t>
            </w:r>
          </w:p>
        </w:tc>
        <w:tc>
          <w:tcPr>
            <w:tcW w:type="dxa" w:w="1872"/>
            <w:shd w:val="clear" w:color="auto" w:fill="F1F5F9"/>
          </w:tcPr>
          <w:p>
            <w:r/>
            <w:r>
              <w:rPr>
                <w:rFonts w:ascii="Arial" w:hAnsi="Arial"/>
                <w:b w:val="0"/>
                <w:i w:val="0"/>
                <w:color w:val="1E293B"/>
                <w:sz w:val="20"/>
              </w:rPr>
              <w:t>End of Sprint 3, Wk 1</w:t>
            </w:r>
          </w:p>
        </w:tc>
      </w:tr>
      <w:tr>
        <w:tc>
          <w:tcPr>
            <w:tcW w:type="dxa" w:w="1872"/>
          </w:tcPr>
          <w:p>
            <w:r/>
            <w:r>
              <w:rPr>
                <w:rFonts w:ascii="Arial" w:hAnsi="Arial"/>
                <w:b w:val="0"/>
                <w:i w:val="0"/>
                <w:color w:val="1E293B"/>
                <w:sz w:val="20"/>
              </w:rPr>
              <w:t>06</w:t>
            </w:r>
          </w:p>
        </w:tc>
        <w:tc>
          <w:tcPr>
            <w:tcW w:type="dxa" w:w="1872"/>
          </w:tcPr>
          <w:p>
            <w:r/>
            <w:r>
              <w:rPr>
                <w:rFonts w:ascii="Arial" w:hAnsi="Arial"/>
                <w:b w:val="0"/>
                <w:i w:val="0"/>
                <w:color w:val="1E293B"/>
                <w:sz w:val="20"/>
              </w:rPr>
              <w:t>Disposal &amp; Retirement</w:t>
            </w:r>
          </w:p>
        </w:tc>
        <w:tc>
          <w:tcPr>
            <w:tcW w:type="dxa" w:w="1872"/>
          </w:tcPr>
          <w:p>
            <w:r/>
            <w:r>
              <w:rPr>
                <w:rFonts w:ascii="Arial" w:hAnsi="Arial"/>
                <w:b w:val="0"/>
                <w:i w:val="0"/>
                <w:color w:val="1E293B"/>
                <w:sz w:val="20"/>
              </w:rPr>
              <w:t>Disposal pipeline, certificate-of-destruction, environmental compliance, financial write-off</w:t>
            </w:r>
          </w:p>
        </w:tc>
        <w:tc>
          <w:tcPr>
            <w:tcW w:type="dxa" w:w="1872"/>
          </w:tcPr>
          <w:p>
            <w:r/>
            <w:r>
              <w:rPr>
                <w:rFonts w:ascii="Arial" w:hAnsi="Arial"/>
                <w:b w:val="0"/>
                <w:i w:val="0"/>
                <w:color w:val="1E293B"/>
                <w:sz w:val="20"/>
              </w:rPr>
              <w:t>HAM Process Owner + Finance + Internal Audit</w:t>
            </w:r>
          </w:p>
        </w:tc>
        <w:tc>
          <w:tcPr>
            <w:tcW w:type="dxa" w:w="1872"/>
          </w:tcPr>
          <w:p>
            <w:r/>
            <w:r>
              <w:rPr>
                <w:rFonts w:ascii="Arial" w:hAnsi="Arial"/>
                <w:b w:val="0"/>
                <w:i w:val="0"/>
                <w:color w:val="1E293B"/>
                <w:sz w:val="20"/>
              </w:rPr>
              <w:t>End of Sprint 3, Wk 2</w:t>
            </w:r>
          </w:p>
        </w:tc>
      </w:tr>
      <w:tr>
        <w:tc>
          <w:tcPr>
            <w:tcW w:type="dxa" w:w="1872"/>
            <w:shd w:val="clear" w:color="auto" w:fill="F1F5F9"/>
          </w:tcPr>
          <w:p>
            <w:r/>
            <w:r>
              <w:rPr>
                <w:rFonts w:ascii="Arial" w:hAnsi="Arial"/>
                <w:b w:val="0"/>
                <w:i w:val="0"/>
                <w:color w:val="1E293B"/>
                <w:sz w:val="20"/>
              </w:rPr>
              <w:t>07</w:t>
            </w:r>
          </w:p>
        </w:tc>
        <w:tc>
          <w:tcPr>
            <w:tcW w:type="dxa" w:w="1872"/>
            <w:shd w:val="clear" w:color="auto" w:fill="F1F5F9"/>
          </w:tcPr>
          <w:p>
            <w:r/>
            <w:r>
              <w:rPr>
                <w:rFonts w:ascii="Arial" w:hAnsi="Arial"/>
                <w:b w:val="0"/>
                <w:i w:val="0"/>
                <w:color w:val="1E293B"/>
                <w:sz w:val="20"/>
              </w:rPr>
              <w:t>Audits &amp; Reconciliation</w:t>
            </w:r>
          </w:p>
        </w:tc>
        <w:tc>
          <w:tcPr>
            <w:tcW w:type="dxa" w:w="1872"/>
            <w:shd w:val="clear" w:color="auto" w:fill="F1F5F9"/>
          </w:tcPr>
          <w:p>
            <w:r/>
            <w:r>
              <w:rPr>
                <w:rFonts w:ascii="Arial" w:hAnsi="Arial"/>
                <w:b w:val="0"/>
                <w:i w:val="0"/>
                <w:color w:val="1E293B"/>
                <w:sz w:val="20"/>
              </w:rPr>
              <w:t>Audit cadence, variance tolerance, SCCM/Intune reconciliation rules, drift handling</w:t>
            </w:r>
          </w:p>
        </w:tc>
        <w:tc>
          <w:tcPr>
            <w:tcW w:type="dxa" w:w="1872"/>
            <w:shd w:val="clear" w:color="auto" w:fill="F1F5F9"/>
          </w:tcPr>
          <w:p>
            <w:r/>
            <w:r>
              <w:rPr>
                <w:rFonts w:ascii="Arial" w:hAnsi="Arial"/>
                <w:b w:val="0"/>
                <w:i w:val="0"/>
                <w:color w:val="1E293B"/>
                <w:sz w:val="20"/>
              </w:rPr>
              <w:t>HAM Process Owner + Internal Audit</w:t>
            </w:r>
          </w:p>
        </w:tc>
        <w:tc>
          <w:tcPr>
            <w:tcW w:type="dxa" w:w="1872"/>
            <w:shd w:val="clear" w:color="auto" w:fill="F1F5F9"/>
          </w:tcPr>
          <w:p>
            <w:r/>
            <w:r>
              <w:rPr>
                <w:rFonts w:ascii="Arial" w:hAnsi="Arial"/>
                <w:b w:val="0"/>
                <w:i w:val="0"/>
                <w:color w:val="1E293B"/>
                <w:sz w:val="20"/>
              </w:rPr>
              <w:t>End of Sprint 4, Wk 1</w:t>
            </w:r>
          </w:p>
        </w:tc>
      </w:tr>
      <w:tr>
        <w:tc>
          <w:tcPr>
            <w:tcW w:type="dxa" w:w="1872"/>
          </w:tcPr>
          <w:p>
            <w:r/>
            <w:r>
              <w:rPr>
                <w:rFonts w:ascii="Arial" w:hAnsi="Arial"/>
                <w:b w:val="0"/>
                <w:i w:val="0"/>
                <w:color w:val="1E293B"/>
                <w:sz w:val="20"/>
              </w:rPr>
              <w:t>08</w:t>
            </w:r>
          </w:p>
        </w:tc>
        <w:tc>
          <w:tcPr>
            <w:tcW w:type="dxa" w:w="1872"/>
          </w:tcPr>
          <w:p>
            <w:r/>
            <w:r>
              <w:rPr>
                <w:rFonts w:ascii="Arial" w:hAnsi="Arial"/>
                <w:b w:val="0"/>
                <w:i w:val="0"/>
                <w:color w:val="1E293B"/>
                <w:sz w:val="20"/>
              </w:rPr>
              <w:t>Integrations &amp; KPIs</w:t>
            </w:r>
          </w:p>
        </w:tc>
        <w:tc>
          <w:tcPr>
            <w:tcW w:type="dxa" w:w="1872"/>
          </w:tcPr>
          <w:p>
            <w:r/>
            <w:r>
              <w:rPr>
                <w:rFonts w:ascii="Arial" w:hAnsi="Arial"/>
                <w:b w:val="0"/>
                <w:i w:val="0"/>
                <w:color w:val="1E293B"/>
                <w:sz w:val="20"/>
              </w:rPr>
              <w:t>SCCM, Intune, AD/Entra, HR onboarding/offboarding integrations and HAM KPI dashboard</w:t>
            </w:r>
          </w:p>
        </w:tc>
        <w:tc>
          <w:tcPr>
            <w:tcW w:type="dxa" w:w="1872"/>
          </w:tcPr>
          <w:p>
            <w:r/>
            <w:r>
              <w:rPr>
                <w:rFonts w:ascii="Arial" w:hAnsi="Arial"/>
                <w:b w:val="0"/>
                <w:i w:val="0"/>
                <w:color w:val="1E293B"/>
                <w:sz w:val="20"/>
              </w:rPr>
              <w:t>Solution Architect + HAM Process Owner</w:t>
            </w:r>
          </w:p>
        </w:tc>
        <w:tc>
          <w:tcPr>
            <w:tcW w:type="dxa" w:w="1872"/>
          </w:tcPr>
          <w:p>
            <w:r/>
            <w:r>
              <w:rPr>
                <w:rFonts w:ascii="Arial" w:hAnsi="Arial"/>
                <w:b w:val="0"/>
                <w:i w:val="0"/>
                <w:color w:val="1E293B"/>
                <w:sz w:val="20"/>
              </w:rPr>
              <w:t>End of Sprint 4, Wk 2</w:t>
            </w:r>
          </w:p>
        </w:tc>
      </w:tr>
    </w:tbl>
    <w:p/>
    <w:p>
      <w:r>
        <w:rPr>
          <w:rFonts w:ascii="Arial" w:hAnsi="Arial"/>
          <w:b w:val="0"/>
          <w:i w:val="0"/>
          <w:color w:val="1E293B"/>
          <w:sz w:val="22"/>
        </w:rPr>
        <w:t>Each workbook contains eight tabs mirroring the ECS ITSM Pack pattern: Instructions; Process Decisions (with ECS OOTB recommendations pre-filled); Dependencies; Configuration Data; R&amp;R (RACI for ECS vs Customer); Consultant Guide (internal reference for ECS Solution Architect / Process Consultant); Adoption vs Re-engineering (legacy-pushback defenses); and ServiceNow Mapping. Customers fill Instructions, Process Decisions, and Dependencies; ECS owns Configuration Data, Consultant Guide, and ServiceNow Mapping; both work R&amp;R and Adoption together.</w:t>
      </w:r>
    </w:p>
    <w:p>
      <w:pPr>
        <w:spacing w:before="240" w:after="120"/>
      </w:pPr>
      <w:r>
        <w:rPr>
          <w:rFonts w:ascii="Arial" w:hAnsi="Arial"/>
          <w:b/>
          <w:i w:val="0"/>
          <w:color w:val="0B1F3A"/>
          <w:sz w:val="36"/>
        </w:rPr>
        <w:t>Foundations Pack — Required Predecessor</w:t>
      </w:r>
    </w:p>
    <w:p>
      <w:r>
        <w:rPr>
          <w:rFonts w:ascii="Arial" w:hAnsi="Arial"/>
          <w:b w:val="0"/>
          <w:i w:val="0"/>
          <w:color w:val="1E293B"/>
          <w:sz w:val="22"/>
        </w:rPr>
        <w:t>Realization assumes the HAM Foundations Accelerator Pack is complete and live in production. Foundations establishes the baseline stockrooms, baseline asset classes, baseline lifecycle states, and the receive-assign-return-retire workflow. Realization extends each of those into full ITAM discipline. Customers who attempt Realization without Foundations routinely spend three sprints rebuilding decisions that should have been made in Foundations.</w:t>
      </w:r>
    </w:p>
    <w:p>
      <w:pPr>
        <w:spacing w:before="240" w:after="120"/>
      </w:pPr>
      <w:r>
        <w:rPr>
          <w:rFonts w:ascii="Arial" w:hAnsi="Arial"/>
          <w:b/>
          <w:i w:val="0"/>
          <w:color w:val="0B1F3A"/>
          <w:sz w:val="36"/>
        </w:rPr>
        <w:t>Roles &amp; Responsibilities</w:t>
      </w:r>
    </w:p>
    <w:p>
      <w:r>
        <w:rPr>
          <w:rFonts w:ascii="Arial" w:hAnsi="Arial"/>
          <w:b w:val="0"/>
          <w:i w:val="0"/>
          <w:color w:val="1E293B"/>
          <w:sz w:val="22"/>
        </w:rPr>
        <w:t>Realization broadens the team from Foundations. Procurement, Finance, and Internal Audit join the working group; HR is consulted for onboarding/offboarding integration; the Service Desk Manager is consulted on IMAC workflow ergonomics. The split below removes ambiguity about who owns what across the program.</w:t>
      </w:r>
    </w:p>
    <w:p>
      <w:pPr>
        <w:spacing w:before="200" w:after="80"/>
      </w:pPr>
      <w:r>
        <w:rPr>
          <w:rFonts w:ascii="Arial" w:hAnsi="Arial"/>
          <w:b/>
          <w:i w:val="0"/>
          <w:color w:val="0B1F3A"/>
          <w:sz w:val="28"/>
        </w:rPr>
        <w:t>ECS Federal Responsibilities</w:t>
      </w:r>
    </w:p>
    <w:tbl>
      <w:tblPr>
        <w:tblStyle w:val="LightGrid-Accent1"/>
        <w:tblW w:type="auto" w:w="0"/>
        <w:tblLook w:firstColumn="1" w:firstRow="1" w:lastColumn="0" w:lastRow="0" w:noHBand="0" w:noVBand="1" w:val="04A0"/>
      </w:tblPr>
      <w:tblGrid>
        <w:gridCol w:w="4680"/>
        <w:gridCol w:w="4680"/>
      </w:tblGrid>
      <w:tr>
        <w:tc>
          <w:tcPr>
            <w:tcW w:type="dxa" w:w="4680"/>
            <w:shd w:val="clear" w:color="auto" w:fill="0B1F3A"/>
          </w:tcPr>
          <w:p>
            <w:r/>
            <w:r>
              <w:rPr>
                <w:rFonts w:ascii="Arial" w:hAnsi="Arial"/>
                <w:b/>
                <w:i w:val="0"/>
                <w:color w:val="FFFFFF"/>
                <w:sz w:val="20"/>
              </w:rPr>
              <w:t>Role</w:t>
            </w:r>
          </w:p>
        </w:tc>
        <w:tc>
          <w:tcPr>
            <w:tcW w:type="dxa" w:w="4680"/>
            <w:shd w:val="clear" w:color="auto" w:fill="0B1F3A"/>
          </w:tcPr>
          <w:p>
            <w:r/>
            <w:r>
              <w:rPr>
                <w:rFonts w:ascii="Arial" w:hAnsi="Arial"/>
                <w:b/>
                <w:i w:val="0"/>
                <w:color w:val="FFFFFF"/>
                <w:sz w:val="20"/>
              </w:rPr>
              <w:t>Owns</w:t>
            </w:r>
          </w:p>
        </w:tc>
      </w:tr>
      <w:tr>
        <w:tc>
          <w:tcPr>
            <w:tcW w:type="dxa" w:w="4680"/>
            <w:shd w:val="clear" w:color="auto" w:fill="F1F5F9"/>
          </w:tcPr>
          <w:p>
            <w:r/>
            <w:r>
              <w:rPr>
                <w:rFonts w:ascii="Arial" w:hAnsi="Arial"/>
                <w:b w:val="0"/>
                <w:i w:val="0"/>
                <w:color w:val="1E293B"/>
                <w:sz w:val="20"/>
              </w:rPr>
              <w:t>Solution Architect</w:t>
            </w:r>
          </w:p>
        </w:tc>
        <w:tc>
          <w:tcPr>
            <w:tcW w:type="dxa" w:w="4680"/>
            <w:shd w:val="clear" w:color="auto" w:fill="F1F5F9"/>
          </w:tcPr>
          <w:p>
            <w:r/>
            <w:r>
              <w:rPr>
                <w:rFonts w:ascii="Arial" w:hAnsi="Arial"/>
                <w:b w:val="0"/>
                <w:i w:val="0"/>
                <w:color w:val="1E293B"/>
                <w:sz w:val="20"/>
              </w:rPr>
              <w:t>Workbook structure, OOTB mapping, integration design (SCCM, Intune, AD/Entra, HR), Refresh Planning configuration, KPI dashboard, validation pipeline</w:t>
            </w:r>
          </w:p>
        </w:tc>
      </w:tr>
      <w:tr>
        <w:tc>
          <w:tcPr>
            <w:tcW w:type="dxa" w:w="4680"/>
          </w:tcPr>
          <w:p>
            <w:r/>
            <w:r>
              <w:rPr>
                <w:rFonts w:ascii="Arial" w:hAnsi="Arial"/>
                <w:b w:val="0"/>
                <w:i w:val="0"/>
                <w:color w:val="1E293B"/>
                <w:sz w:val="20"/>
              </w:rPr>
              <w:t>Process Consultant</w:t>
            </w:r>
          </w:p>
        </w:tc>
        <w:tc>
          <w:tcPr>
            <w:tcW w:type="dxa" w:w="4680"/>
          </w:tcPr>
          <w:p>
            <w:r/>
            <w:r>
              <w:rPr>
                <w:rFonts w:ascii="Arial" w:hAnsi="Arial"/>
                <w:b w:val="0"/>
                <w:i w:val="0"/>
                <w:color w:val="1E293B"/>
                <w:sz w:val="20"/>
              </w:rPr>
              <w:t>Workshop facilitation, ITAM principle alignment, IMAC workflow design, audit cadence design, disposal pipeline design</w:t>
            </w:r>
          </w:p>
        </w:tc>
      </w:tr>
      <w:tr>
        <w:tc>
          <w:tcPr>
            <w:tcW w:type="dxa" w:w="4680"/>
            <w:shd w:val="clear" w:color="auto" w:fill="F1F5F9"/>
          </w:tcPr>
          <w:p>
            <w:r/>
            <w:r>
              <w:rPr>
                <w:rFonts w:ascii="Arial" w:hAnsi="Arial"/>
                <w:b w:val="0"/>
                <w:i w:val="0"/>
                <w:color w:val="1E293B"/>
                <w:sz w:val="20"/>
              </w:rPr>
              <w:t>Engagement Manager</w:t>
            </w:r>
          </w:p>
        </w:tc>
        <w:tc>
          <w:tcPr>
            <w:tcW w:type="dxa" w:w="4680"/>
            <w:shd w:val="clear" w:color="auto" w:fill="F1F5F9"/>
          </w:tcPr>
          <w:p>
            <w:r/>
            <w:r>
              <w:rPr>
                <w:rFonts w:ascii="Arial" w:hAnsi="Arial"/>
                <w:b w:val="0"/>
                <w:i w:val="0"/>
                <w:color w:val="1E293B"/>
                <w:sz w:val="20"/>
              </w:rPr>
              <w:t>Schedule, Procurement and Finance engagement, scope discipline against Foundations baseline</w:t>
            </w:r>
          </w:p>
        </w:tc>
      </w:tr>
      <w:tr>
        <w:tc>
          <w:tcPr>
            <w:tcW w:type="dxa" w:w="4680"/>
          </w:tcPr>
          <w:p>
            <w:r/>
            <w:r>
              <w:rPr>
                <w:rFonts w:ascii="Arial" w:hAnsi="Arial"/>
                <w:b w:val="0"/>
                <w:i w:val="0"/>
                <w:color w:val="1E293B"/>
                <w:sz w:val="20"/>
              </w:rPr>
              <w:t>Senior Developer</w:t>
            </w:r>
          </w:p>
        </w:tc>
        <w:tc>
          <w:tcPr>
            <w:tcW w:type="dxa" w:w="4680"/>
          </w:tcPr>
          <w:p>
            <w:r/>
            <w:r>
              <w:rPr>
                <w:rFonts w:ascii="Arial" w:hAnsi="Arial"/>
                <w:b w:val="0"/>
                <w:i w:val="0"/>
                <w:color w:val="1E293B"/>
                <w:sz w:val="20"/>
              </w:rPr>
              <w:t>Flow Designer flows for IMAC, integration configuration, Refresh Planning rules, OOTB Audit configuration</w:t>
            </w:r>
          </w:p>
        </w:tc>
      </w:tr>
    </w:tbl>
    <w:p/>
    <w:p>
      <w:pPr>
        <w:spacing w:before="200" w:after="80"/>
      </w:pPr>
      <w:r>
        <w:rPr>
          <w:rFonts w:ascii="Arial" w:hAnsi="Arial"/>
          <w:b/>
          <w:i w:val="0"/>
          <w:color w:val="0B1F3A"/>
          <w:sz w:val="28"/>
        </w:rPr>
        <w:t>Customer Responsibilities</w:t>
      </w:r>
    </w:p>
    <w:tbl>
      <w:tblPr>
        <w:tblStyle w:val="LightGrid-Accent1"/>
        <w:tblW w:type="auto" w:w="0"/>
        <w:tblLook w:firstColumn="1" w:firstRow="1" w:lastColumn="0" w:lastRow="0" w:noHBand="0" w:noVBand="1" w:val="04A0"/>
      </w:tblPr>
      <w:tblGrid>
        <w:gridCol w:w="4680"/>
        <w:gridCol w:w="4680"/>
      </w:tblGrid>
      <w:tr>
        <w:tc>
          <w:tcPr>
            <w:tcW w:type="dxa" w:w="4680"/>
            <w:shd w:val="clear" w:color="auto" w:fill="0B1F3A"/>
          </w:tcPr>
          <w:p>
            <w:r/>
            <w:r>
              <w:rPr>
                <w:rFonts w:ascii="Arial" w:hAnsi="Arial"/>
                <w:b/>
                <w:i w:val="0"/>
                <w:color w:val="FFFFFF"/>
                <w:sz w:val="20"/>
              </w:rPr>
              <w:t>Role</w:t>
            </w:r>
          </w:p>
        </w:tc>
        <w:tc>
          <w:tcPr>
            <w:tcW w:type="dxa" w:w="4680"/>
            <w:shd w:val="clear" w:color="auto" w:fill="0B1F3A"/>
          </w:tcPr>
          <w:p>
            <w:r/>
            <w:r>
              <w:rPr>
                <w:rFonts w:ascii="Arial" w:hAnsi="Arial"/>
                <w:b/>
                <w:i w:val="0"/>
                <w:color w:val="FFFFFF"/>
                <w:sz w:val="20"/>
              </w:rPr>
              <w:t>Owns</w:t>
            </w:r>
          </w:p>
        </w:tc>
      </w:tr>
      <w:tr>
        <w:tc>
          <w:tcPr>
            <w:tcW w:type="dxa" w:w="4680"/>
            <w:shd w:val="clear" w:color="auto" w:fill="F1F5F9"/>
          </w:tcPr>
          <w:p>
            <w:r/>
            <w:r>
              <w:rPr>
                <w:rFonts w:ascii="Arial" w:hAnsi="Arial"/>
                <w:b w:val="0"/>
                <w:i w:val="0"/>
                <w:color w:val="1E293B"/>
                <w:sz w:val="20"/>
              </w:rPr>
              <w:t>Project Sponsor</w:t>
            </w:r>
          </w:p>
        </w:tc>
        <w:tc>
          <w:tcPr>
            <w:tcW w:type="dxa" w:w="4680"/>
            <w:shd w:val="clear" w:color="auto" w:fill="F1F5F9"/>
          </w:tcPr>
          <w:p>
            <w:r/>
            <w:r>
              <w:rPr>
                <w:rFonts w:ascii="Arial" w:hAnsi="Arial"/>
                <w:b w:val="0"/>
                <w:i w:val="0"/>
                <w:color w:val="1E293B"/>
                <w:sz w:val="20"/>
              </w:rPr>
              <w:t>Decision rights, prioritization between competing IMAC scenarios, sign-off on Realization demo bar</w:t>
            </w:r>
          </w:p>
        </w:tc>
      </w:tr>
      <w:tr>
        <w:tc>
          <w:tcPr>
            <w:tcW w:type="dxa" w:w="4680"/>
          </w:tcPr>
          <w:p>
            <w:r/>
            <w:r>
              <w:rPr>
                <w:rFonts w:ascii="Arial" w:hAnsi="Arial"/>
                <w:b w:val="0"/>
                <w:i w:val="0"/>
                <w:color w:val="1E293B"/>
                <w:sz w:val="20"/>
              </w:rPr>
              <w:t>HAM Process Owner</w:t>
            </w:r>
          </w:p>
        </w:tc>
        <w:tc>
          <w:tcPr>
            <w:tcW w:type="dxa" w:w="4680"/>
          </w:tcPr>
          <w:p>
            <w:r/>
            <w:r>
              <w:rPr>
                <w:rFonts w:ascii="Arial" w:hAnsi="Arial"/>
                <w:b w:val="0"/>
                <w:i w:val="0"/>
                <w:color w:val="1E293B"/>
                <w:sz w:val="20"/>
              </w:rPr>
              <w:t>Authoritative answers across all eight workbooks; primary owner for 01–04, 07; co-owner for 05, 06, 08</w:t>
            </w:r>
          </w:p>
        </w:tc>
      </w:tr>
      <w:tr>
        <w:tc>
          <w:tcPr>
            <w:tcW w:type="dxa" w:w="4680"/>
            <w:shd w:val="clear" w:color="auto" w:fill="F1F5F9"/>
          </w:tcPr>
          <w:p>
            <w:r/>
            <w:r>
              <w:rPr>
                <w:rFonts w:ascii="Arial" w:hAnsi="Arial"/>
                <w:b w:val="0"/>
                <w:i w:val="0"/>
                <w:color w:val="1E293B"/>
                <w:sz w:val="20"/>
              </w:rPr>
              <w:t>Procurement Lead</w:t>
            </w:r>
          </w:p>
        </w:tc>
        <w:tc>
          <w:tcPr>
            <w:tcW w:type="dxa" w:w="4680"/>
            <w:shd w:val="clear" w:color="auto" w:fill="F1F5F9"/>
          </w:tcPr>
          <w:p>
            <w:r/>
            <w:r>
              <w:rPr>
                <w:rFonts w:ascii="Arial" w:hAnsi="Arial"/>
                <w:b w:val="0"/>
                <w:i w:val="0"/>
                <w:color w:val="1E293B"/>
                <w:sz w:val="20"/>
              </w:rPr>
              <w:t>Procurement integration scope, PO format, vendor-direct flow (workbook 05)</w:t>
            </w:r>
          </w:p>
        </w:tc>
      </w:tr>
      <w:tr>
        <w:tc>
          <w:tcPr>
            <w:tcW w:type="dxa" w:w="4680"/>
          </w:tcPr>
          <w:p>
            <w:r/>
            <w:r>
              <w:rPr>
                <w:rFonts w:ascii="Arial" w:hAnsi="Arial"/>
                <w:b w:val="0"/>
                <w:i w:val="0"/>
                <w:color w:val="1E293B"/>
                <w:sz w:val="20"/>
              </w:rPr>
              <w:t>Finance / Asset Accountant</w:t>
            </w:r>
          </w:p>
        </w:tc>
        <w:tc>
          <w:tcPr>
            <w:tcW w:type="dxa" w:w="4680"/>
          </w:tcPr>
          <w:p>
            <w:r/>
            <w:r>
              <w:rPr>
                <w:rFonts w:ascii="Arial" w:hAnsi="Arial"/>
                <w:b w:val="0"/>
                <w:i w:val="0"/>
                <w:color w:val="1E293B"/>
                <w:sz w:val="20"/>
              </w:rPr>
              <w:t>Disposal financial write-off, asset book value tracking, depreciation alignment (workbook 06)</w:t>
            </w:r>
          </w:p>
        </w:tc>
      </w:tr>
      <w:tr>
        <w:tc>
          <w:tcPr>
            <w:tcW w:type="dxa" w:w="4680"/>
            <w:shd w:val="clear" w:color="auto" w:fill="F1F5F9"/>
          </w:tcPr>
          <w:p>
            <w:r/>
            <w:r>
              <w:rPr>
                <w:rFonts w:ascii="Arial" w:hAnsi="Arial"/>
                <w:b w:val="0"/>
                <w:i w:val="0"/>
                <w:color w:val="1E293B"/>
                <w:sz w:val="20"/>
              </w:rPr>
              <w:t>Internal Audit</w:t>
            </w:r>
          </w:p>
        </w:tc>
        <w:tc>
          <w:tcPr>
            <w:tcW w:type="dxa" w:w="4680"/>
            <w:shd w:val="clear" w:color="auto" w:fill="F1F5F9"/>
          </w:tcPr>
          <w:p>
            <w:r/>
            <w:r>
              <w:rPr>
                <w:rFonts w:ascii="Arial" w:hAnsi="Arial"/>
                <w:b w:val="0"/>
                <w:i w:val="0"/>
                <w:color w:val="1E293B"/>
                <w:sz w:val="20"/>
              </w:rPr>
              <w:t>Audit cadence, variance tolerance, certificate-of-destruction policy (workbooks 06, 07)</w:t>
            </w:r>
          </w:p>
        </w:tc>
      </w:tr>
      <w:tr>
        <w:tc>
          <w:tcPr>
            <w:tcW w:type="dxa" w:w="4680"/>
          </w:tcPr>
          <w:p>
            <w:r/>
            <w:r>
              <w:rPr>
                <w:rFonts w:ascii="Arial" w:hAnsi="Arial"/>
                <w:b w:val="0"/>
                <w:i w:val="0"/>
                <w:color w:val="1E293B"/>
                <w:sz w:val="20"/>
              </w:rPr>
              <w:t>IT Service Manager</w:t>
            </w:r>
          </w:p>
        </w:tc>
        <w:tc>
          <w:tcPr>
            <w:tcW w:type="dxa" w:w="4680"/>
          </w:tcPr>
          <w:p>
            <w:r/>
            <w:r>
              <w:rPr>
                <w:rFonts w:ascii="Arial" w:hAnsi="Arial"/>
                <w:b w:val="0"/>
                <w:i w:val="0"/>
                <w:color w:val="1E293B"/>
                <w:sz w:val="20"/>
              </w:rPr>
              <w:t>IMAC workflow ergonomic review, Service Desk impact (workbooks 03, 04)</w:t>
            </w:r>
          </w:p>
        </w:tc>
      </w:tr>
      <w:tr>
        <w:tc>
          <w:tcPr>
            <w:tcW w:type="dxa" w:w="4680"/>
            <w:shd w:val="clear" w:color="auto" w:fill="F1F5F9"/>
          </w:tcPr>
          <w:p>
            <w:r/>
            <w:r>
              <w:rPr>
                <w:rFonts w:ascii="Arial" w:hAnsi="Arial"/>
                <w:b w:val="0"/>
                <w:i w:val="0"/>
                <w:color w:val="1E293B"/>
                <w:sz w:val="20"/>
              </w:rPr>
              <w:t>HR Operations</w:t>
            </w:r>
          </w:p>
        </w:tc>
        <w:tc>
          <w:tcPr>
            <w:tcW w:type="dxa" w:w="4680"/>
            <w:shd w:val="clear" w:color="auto" w:fill="F1F5F9"/>
          </w:tcPr>
          <w:p>
            <w:r/>
            <w:r>
              <w:rPr>
                <w:rFonts w:ascii="Arial" w:hAnsi="Arial"/>
                <w:b w:val="0"/>
                <w:i w:val="0"/>
                <w:color w:val="1E293B"/>
                <w:sz w:val="20"/>
              </w:rPr>
              <w:t>Onboarding/offboarding asset triggers (workbook 08)</w:t>
            </w:r>
          </w:p>
        </w:tc>
      </w:tr>
      <w:tr>
        <w:tc>
          <w:tcPr>
            <w:tcW w:type="dxa" w:w="4680"/>
          </w:tcPr>
          <w:p>
            <w:r/>
            <w:r>
              <w:rPr>
                <w:rFonts w:ascii="Arial" w:hAnsi="Arial"/>
                <w:b w:val="0"/>
                <w:i w:val="0"/>
                <w:color w:val="1E293B"/>
                <w:sz w:val="20"/>
              </w:rPr>
              <w:t>Stockroom Lead / IT Operations</w:t>
            </w:r>
          </w:p>
        </w:tc>
        <w:tc>
          <w:tcPr>
            <w:tcW w:type="dxa" w:w="4680"/>
          </w:tcPr>
          <w:p>
            <w:r/>
            <w:r>
              <w:rPr>
                <w:rFonts w:ascii="Arial" w:hAnsi="Arial"/>
                <w:b w:val="0"/>
                <w:i w:val="0"/>
                <w:color w:val="1E293B"/>
                <w:sz w:val="20"/>
              </w:rPr>
              <w:t>Stockroom strategy execution, audit support (workbooks 01, 07)</w:t>
            </w:r>
          </w:p>
        </w:tc>
      </w:tr>
    </w:tbl>
    <w:p/>
    <w:p>
      <w:pPr>
        <w:spacing w:before="240" w:after="120"/>
      </w:pPr>
      <w:r>
        <w:rPr>
          <w:rFonts w:ascii="Arial" w:hAnsi="Arial"/>
          <w:b/>
          <w:i w:val="0"/>
          <w:color w:val="0B1F3A"/>
          <w:sz w:val="36"/>
        </w:rPr>
        <w:t>How to Fill Out a Workbook</w:t>
      </w:r>
    </w:p>
    <w:p>
      <w:pPr>
        <w:pStyle w:val="ListNumber"/>
      </w:pPr>
      <w:r>
        <w:rPr>
          <w:rFonts w:ascii="Arial" w:hAnsi="Arial"/>
          <w:color w:val="1E293B"/>
          <w:sz w:val="22"/>
        </w:rPr>
        <w:t>Open the workbook. Read the Instructions tab end-to-end.</w:t>
      </w:r>
    </w:p>
    <w:p>
      <w:pPr>
        <w:pStyle w:val="ListNumber"/>
      </w:pPr>
      <w:r>
        <w:rPr>
          <w:rFonts w:ascii="Arial" w:hAnsi="Arial"/>
          <w:color w:val="1E293B"/>
          <w:sz w:val="22"/>
        </w:rPr>
        <w:t>Switch to Process Decisions. ECS recommendations are pre-filled — customer fills the Customer Decision column in workshop. Use Adoption vs Re-engineering tab to defend OOTB before agreeing to customize.</w:t>
      </w:r>
    </w:p>
    <w:p>
      <w:pPr>
        <w:pStyle w:val="ListNumber"/>
      </w:pPr>
      <w:r>
        <w:rPr>
          <w:rFonts w:ascii="Arial" w:hAnsi="Arial"/>
          <w:color w:val="1E293B"/>
          <w:sz w:val="22"/>
        </w:rPr>
        <w:t>Confirm Dependencies are met before requesting import — Realization workbooks have heavier dependency chains than Foundations.</w:t>
      </w:r>
    </w:p>
    <w:p>
      <w:pPr>
        <w:pStyle w:val="ListNumber"/>
      </w:pPr>
      <w:r>
        <w:rPr>
          <w:rFonts w:ascii="Arial" w:hAnsi="Arial"/>
          <w:color w:val="1E293B"/>
          <w:sz w:val="22"/>
        </w:rPr>
        <w:t>Use the dropdown menus where present; they enforce allowed values.</w:t>
      </w:r>
    </w:p>
    <w:p>
      <w:pPr>
        <w:pStyle w:val="ListNumber"/>
      </w:pPr>
      <w:r>
        <w:rPr>
          <w:rFonts w:ascii="Arial" w:hAnsi="Arial"/>
          <w:color w:val="1E293B"/>
          <w:sz w:val="22"/>
        </w:rPr>
        <w:t>Cross-reference between workbooks. Models in 02 are referenced by 04, 05, 07. Lifecycle states in 03 are referenced by 04, 06, 07. Stockroom strategy in 01 is referenced by 04, 05.</w:t>
      </w:r>
    </w:p>
    <w:p>
      <w:pPr>
        <w:pStyle w:val="ListNumber"/>
      </w:pPr>
      <w:r>
        <w:rPr>
          <w:rFonts w:ascii="Arial" w:hAnsi="Arial"/>
          <w:color w:val="1E293B"/>
          <w:sz w:val="22"/>
        </w:rPr>
        <w:t>Do not add or remove columns. Do not rename columns.</w:t>
      </w:r>
    </w:p>
    <w:p>
      <w:pPr>
        <w:pStyle w:val="ListNumber"/>
      </w:pPr>
      <w:r>
        <w:rPr>
          <w:rFonts w:ascii="Arial" w:hAnsi="Arial"/>
          <w:color w:val="1E293B"/>
          <w:sz w:val="22"/>
        </w:rPr>
        <w:t>If data does not fit, contact your ECS Solution Architect rather than improvising.</w:t>
      </w:r>
    </w:p>
    <w:p>
      <w:pPr>
        <w:spacing w:before="240" w:after="120"/>
      </w:pPr>
      <w:r>
        <w:rPr>
          <w:rFonts w:ascii="Arial" w:hAnsi="Arial"/>
          <w:b/>
          <w:i w:val="0"/>
          <w:color w:val="0B1F3A"/>
          <w:sz w:val="36"/>
        </w:rPr>
        <w:t>Order of Completion</w:t>
      </w:r>
    </w:p>
    <w:p>
      <w:pPr>
        <w:pStyle w:val="ListNumber"/>
      </w:pPr>
      <w:r>
        <w:rPr>
          <w:rFonts w:ascii="Arial" w:hAnsi="Arial"/>
          <w:color w:val="1E293B"/>
          <w:sz w:val="22"/>
        </w:rPr>
        <w:t>Stockroom Strategy (01) — Foundations stockrooms are the starting point; this workbook extends them.</w:t>
      </w:r>
    </w:p>
    <w:p>
      <w:pPr>
        <w:pStyle w:val="ListNumber"/>
      </w:pPr>
      <w:r>
        <w:rPr>
          <w:rFonts w:ascii="Arial" w:hAnsi="Arial"/>
          <w:color w:val="1E293B"/>
          <w:sz w:val="22"/>
        </w:rPr>
        <w:t>Asset Class &amp; Model Catalog (02) — extends Foundations workbook 02 to full scope.</w:t>
      </w:r>
    </w:p>
    <w:p>
      <w:pPr>
        <w:pStyle w:val="ListNumber"/>
      </w:pPr>
      <w:r>
        <w:rPr>
          <w:rFonts w:ascii="Arial" w:hAnsi="Arial"/>
          <w:color w:val="1E293B"/>
          <w:sz w:val="22"/>
        </w:rPr>
        <w:t>Lifecycle &amp; IMAC States (03) — depends on Foundations 05 and the IMAC workshop output.</w:t>
      </w:r>
    </w:p>
    <w:p>
      <w:pPr>
        <w:pStyle w:val="ListNumber"/>
      </w:pPr>
      <w:r>
        <w:rPr>
          <w:rFonts w:ascii="Arial" w:hAnsi="Arial"/>
          <w:color w:val="1E293B"/>
          <w:sz w:val="22"/>
        </w:rPr>
        <w:t>IMAC Workflows (04) — depends on 03 and Foundations 06.</w:t>
      </w:r>
    </w:p>
    <w:p>
      <w:pPr>
        <w:pStyle w:val="ListNumber"/>
      </w:pPr>
      <w:r>
        <w:rPr>
          <w:rFonts w:ascii="Arial" w:hAnsi="Arial"/>
          <w:color w:val="1E293B"/>
          <w:sz w:val="22"/>
        </w:rPr>
        <w:t>Procurement &amp; Intake (05) — depends on 01 and 02.</w:t>
      </w:r>
    </w:p>
    <w:p>
      <w:pPr>
        <w:pStyle w:val="ListNumber"/>
      </w:pPr>
      <w:r>
        <w:rPr>
          <w:rFonts w:ascii="Arial" w:hAnsi="Arial"/>
          <w:color w:val="1E293B"/>
          <w:sz w:val="22"/>
        </w:rPr>
        <w:t>Disposal &amp; Retirement (06) — depends on 03; involves Finance and Internal Audit.</w:t>
      </w:r>
    </w:p>
    <w:p>
      <w:pPr>
        <w:pStyle w:val="ListNumber"/>
      </w:pPr>
      <w:r>
        <w:rPr>
          <w:rFonts w:ascii="Arial" w:hAnsi="Arial"/>
          <w:color w:val="1E293B"/>
          <w:sz w:val="22"/>
        </w:rPr>
        <w:t>Audits &amp; Reconciliation (07) — depends on 02, 04, 06.</w:t>
      </w:r>
    </w:p>
    <w:p>
      <w:pPr>
        <w:pStyle w:val="ListNumber"/>
      </w:pPr>
      <w:r>
        <w:rPr>
          <w:rFonts w:ascii="Arial" w:hAnsi="Arial"/>
          <w:color w:val="1E293B"/>
          <w:sz w:val="22"/>
        </w:rPr>
        <w:t>Integrations &amp; KPIs (08) — depends on Foundations Pack, Service Graph workbooks (Sprint 5), and Foundation Data Pack.</w:t>
      </w:r>
    </w:p>
    <w:p>
      <w:pPr>
        <w:spacing w:before="240" w:after="120"/>
      </w:pPr>
      <w:r>
        <w:rPr>
          <w:rFonts w:ascii="Arial" w:hAnsi="Arial"/>
          <w:b/>
          <w:i w:val="0"/>
          <w:color w:val="0B1F3A"/>
          <w:sz w:val="36"/>
        </w:rPr>
        <w:t>Submission &amp; Validation</w:t>
      </w:r>
    </w:p>
    <w:p>
      <w:r>
        <w:rPr>
          <w:rFonts w:ascii="Arial" w:hAnsi="Arial"/>
          <w:b w:val="0"/>
          <w:i w:val="0"/>
          <w:color w:val="1E293B"/>
          <w:sz w:val="22"/>
        </w:rPr>
        <w:t>Submission and validation follow the Foundations Pack pattern. Send completed workbooks to your ECS Solution Architect via the engagement's secure file-share. Realization workbooks have heavier validation: integration credentials are tested before import, Discovery / SCCM / Intune deltas are previewed, and disposal pipeline records are dual-checked against Finance write-off records. Errors are returned within one business day with row-and-column references.</w:t>
      </w:r>
    </w:p>
    <w:p>
      <w:pPr>
        <w:spacing w:before="240" w:after="120"/>
      </w:pPr>
      <w:r>
        <w:rPr>
          <w:rFonts w:ascii="Arial" w:hAnsi="Arial"/>
          <w:b/>
          <w:i w:val="0"/>
          <w:color w:val="0B1F3A"/>
          <w:sz w:val="36"/>
        </w:rPr>
        <w:t>What Happens Next</w:t>
      </w:r>
    </w:p>
    <w:p>
      <w:r>
        <w:rPr>
          <w:rFonts w:ascii="Arial" w:hAnsi="Arial"/>
          <w:b w:val="0"/>
          <w:i w:val="0"/>
          <w:color w:val="1E293B"/>
          <w:sz w:val="22"/>
        </w:rPr>
        <w:t>By the end of Realization, the customer instance has: full IMAC workflows operating across the production stockroom network; Procurement and HR triggering asset events; SCCM/Intune feeding a continuously-reconciling CMDB; Disposal pipeline producing certificates of destruction and matching Finance write-offs; an audit cadence that runs monthly with variance tolerance signed off by Internal Audit; and a HAM KPI dashboard surfacing utilization, lifecycle aging, audit drift, and refresh forecast.</w:t>
      </w:r>
    </w:p>
    <w:p>
      <w:r>
        <w:rPr>
          <w:rFonts w:ascii="Arial" w:hAnsi="Arial"/>
          <w:b w:val="0"/>
          <w:i w:val="0"/>
          <w:color w:val="1E293B"/>
          <w:sz w:val="22"/>
        </w:rPr>
        <w:t>That is the demo bar: a complete asset event chain — procured, received, assigned, moved, returned, retired, disposed — ends in a record that ties to a Finance write-off and an Internal Audit-accepted certificate of destruction, all using OOTB ServiceNow HAM.</w:t>
      </w:r>
    </w:p>
    <w:p>
      <w:pPr>
        <w:spacing w:before="240" w:after="120"/>
      </w:pPr>
      <w:r>
        <w:rPr>
          <w:rFonts w:ascii="Arial" w:hAnsi="Arial"/>
          <w:b/>
          <w:i w:val="0"/>
          <w:color w:val="0B1F3A"/>
          <w:sz w:val="36"/>
        </w:rPr>
        <w:t>Frequently Asked Questions</w:t>
      </w:r>
    </w:p>
    <w:p>
      <w:pPr>
        <w:spacing w:before="200" w:after="80"/>
      </w:pPr>
      <w:r>
        <w:rPr>
          <w:rFonts w:ascii="Arial" w:hAnsi="Arial"/>
          <w:b/>
          <w:i w:val="0"/>
          <w:color w:val="0B1F3A"/>
          <w:sz w:val="28"/>
        </w:rPr>
        <w:t>Why is Realization eight workbooks when Foundations was six?</w:t>
      </w:r>
    </w:p>
    <w:p>
      <w:r>
        <w:rPr>
          <w:rFonts w:ascii="Arial" w:hAnsi="Arial"/>
          <w:b w:val="0"/>
          <w:i w:val="0"/>
          <w:color w:val="1E293B"/>
          <w:sz w:val="22"/>
        </w:rPr>
        <w:t>Foundations focuses on a single discipline (receive-assign-return-retire) on a single fleet. Realization adds the cross-functional disciplines (procurement, disposal, audit, integrations) that involve teams beyond IT. Each of those disciplines has its own decisions, dependencies, and pushback scenarios, so each gets a workbook. Combining them creates ambiguity about who owns what.</w:t>
      </w:r>
    </w:p>
    <w:p>
      <w:pPr>
        <w:spacing w:before="200" w:after="80"/>
      </w:pPr>
      <w:r>
        <w:rPr>
          <w:rFonts w:ascii="Arial" w:hAnsi="Arial"/>
          <w:b/>
          <w:i w:val="0"/>
          <w:color w:val="0B1F3A"/>
          <w:sz w:val="28"/>
        </w:rPr>
        <w:t>Can we run Realization without first running Foundations?</w:t>
      </w:r>
    </w:p>
    <w:p>
      <w:r>
        <w:rPr>
          <w:rFonts w:ascii="Arial" w:hAnsi="Arial"/>
          <w:b w:val="0"/>
          <w:i w:val="0"/>
          <w:color w:val="1E293B"/>
          <w:sz w:val="22"/>
        </w:rPr>
        <w:t>We do not recommend it. Customers who skip Foundations routinely spend two-to-three sprints rebuilding the baseline decisions Foundations forces. The discipline of demonstrating the OOTB receive-assign-return-retire flow on a small, real fleet earns the credibility Realization needs from Procurement, Finance, and Internal Audit. Skipping Foundations is the most common reason HAM Realization engagements lose momentum.</w:t>
      </w:r>
    </w:p>
    <w:p>
      <w:pPr>
        <w:spacing w:before="200" w:after="80"/>
      </w:pPr>
      <w:r>
        <w:rPr>
          <w:rFonts w:ascii="Arial" w:hAnsi="Arial"/>
          <w:b/>
          <w:i w:val="0"/>
          <w:color w:val="0B1F3A"/>
          <w:sz w:val="28"/>
        </w:rPr>
        <w:t>Our SCCM and Intune integration aren't ready — can we still do Realization?</w:t>
      </w:r>
    </w:p>
    <w:p>
      <w:r>
        <w:rPr>
          <w:rFonts w:ascii="Arial" w:hAnsi="Arial"/>
          <w:b w:val="0"/>
          <w:i w:val="0"/>
          <w:color w:val="1E293B"/>
          <w:sz w:val="22"/>
        </w:rPr>
        <w:t>Yes, but workbook 07 (Audits &amp; Reconciliation) and workbook 08 (Integrations &amp; KPIs) require those integrations to be functional. ECS sequences workbook 08 last for that reason. If integrations are blocked, we deliver workbooks 01–06 and hold 07 and 08 until integration dependencies clear.</w:t>
      </w:r>
    </w:p>
    <w:p>
      <w:pPr>
        <w:spacing w:before="240" w:after="120"/>
      </w:pPr>
      <w:r>
        <w:rPr>
          <w:rFonts w:ascii="Arial" w:hAnsi="Arial"/>
          <w:b/>
          <w:i w:val="0"/>
          <w:color w:val="0B1F3A"/>
          <w:sz w:val="36"/>
        </w:rPr>
        <w:t>A Final Note</w:t>
      </w:r>
    </w:p>
    <w:p>
      <w:r>
        <w:rPr>
          <w:rFonts w:ascii="Arial" w:hAnsi="Arial"/>
          <w:b w:val="0"/>
          <w:i w:val="0"/>
          <w:color w:val="1E293B"/>
          <w:sz w:val="22"/>
        </w:rPr>
        <w:t>Realization is where HAM stops being an IT system and starts being a managed asset program. The discipline shows in the audit reports, the disposal certificates, and the KPI dashboard that finance and audit trust. Customers who treat Realization as a checklist usually end up rebuilding it in 18 months. Customers who treat it as the operational design document for their asset program get years of value from a single OOTB-first build.</w:t>
      </w:r>
    </w:p>
    <w:p>
      <w:pPr>
        <w:spacing w:before="480"/>
      </w:pPr>
      <w:r>
        <w:rPr>
          <w:rFonts w:ascii="Arial" w:hAnsi="Arial"/>
          <w:b/>
          <w:i w:val="0"/>
          <w:color w:val="0B1F3A"/>
          <w:sz w:val="20"/>
        </w:rPr>
        <w:t>ECS Federal · ServiceNow Practice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