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1.  Before Day 1 — Access and Setup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57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Task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Owner</w:t>
            </w:r>
          </w:p>
        </w:tc>
        <w:tc>
          <w:tcPr>
            <w:tcW w:type="dxa" w:w="12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Done?</w:t>
            </w:r>
          </w:p>
        </w:tc>
        <w:tc>
          <w:tcPr>
            <w:tcW w:type="dxa" w:w="403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Notes</w:t>
            </w:r>
          </w:p>
        </w:tc>
      </w:tr>
      <w:tr>
        <w:tc>
          <w:tcPr>
            <w:tcW w:type="dxa" w:w="57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ECS email and O365 access provisioned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ECS IT</w:t>
            </w:r>
          </w:p>
        </w:tc>
        <w:tc>
          <w:tcPr>
            <w:tcW w:type="dxa" w:w="12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403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57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GitHub access (everforth-ecs-practice repo)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Practice Director</w:t>
            </w:r>
          </w:p>
        </w:tc>
        <w:tc>
          <w:tcPr>
            <w:tcW w:type="dxa" w:w="12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403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57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ServiceNow PDI account created (developer.servicenow.com)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Consultant</w:t>
            </w:r>
          </w:p>
        </w:tc>
        <w:tc>
          <w:tcPr>
            <w:tcW w:type="dxa" w:w="12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403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57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ServiceNow learning path assigned in Now Learning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Practice Director</w:t>
            </w:r>
          </w:p>
        </w:tc>
        <w:tc>
          <w:tcPr>
            <w:tcW w:type="dxa" w:w="12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403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57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ECS project management tool access (Jira / equivalent)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ECS IT</w:t>
            </w:r>
          </w:p>
        </w:tc>
        <w:tc>
          <w:tcPr>
            <w:tcW w:type="dxa" w:w="12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403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57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ECS time tracking / expense system access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ECS IT</w:t>
            </w:r>
          </w:p>
        </w:tc>
        <w:tc>
          <w:tcPr>
            <w:tcW w:type="dxa" w:w="12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403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57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VPN and remote access configured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ECS IT</w:t>
            </w:r>
          </w:p>
        </w:tc>
        <w:tc>
          <w:tcPr>
            <w:tcW w:type="dxa" w:w="12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403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57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Added to ECS practice Slack/Teams channel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Practice Director</w:t>
            </w:r>
          </w:p>
        </w:tc>
        <w:tc>
          <w:tcPr>
            <w:tcW w:type="dxa" w:w="12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403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2.  Week 1 — Foundations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57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Task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Owner</w:t>
            </w:r>
          </w:p>
        </w:tc>
        <w:tc>
          <w:tcPr>
            <w:tcW w:type="dxa" w:w="12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Done?</w:t>
            </w:r>
          </w:p>
        </w:tc>
        <w:tc>
          <w:tcPr>
            <w:tcW w:type="dxa" w:w="403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Notes</w:t>
            </w:r>
          </w:p>
        </w:tc>
      </w:tr>
      <w:tr>
        <w:tc>
          <w:tcPr>
            <w:tcW w:type="dxa" w:w="57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Read INT-CH-01 Consultant Handbook (full read)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Consultant</w:t>
            </w:r>
          </w:p>
        </w:tc>
        <w:tc>
          <w:tcPr>
            <w:tcW w:type="dxa" w:w="12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403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57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Read INT-CH-04 OOTB-First Glossary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Consultant</w:t>
            </w:r>
          </w:p>
        </w:tc>
        <w:tc>
          <w:tcPr>
            <w:tcW w:type="dxa" w:w="12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403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57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Review BRAND_STANDARD.md (brand rules for all deliverables)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Consultant</w:t>
            </w:r>
          </w:p>
        </w:tc>
        <w:tc>
          <w:tcPr>
            <w:tcW w:type="dxa" w:w="12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403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57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Review ECS_Master_Blueprint.docx (understand the full catalog)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Consultant</w:t>
            </w:r>
          </w:p>
        </w:tc>
        <w:tc>
          <w:tcPr>
            <w:tcW w:type="dxa" w:w="12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403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57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Complete ServiceNow ITSM Fundamentals module (Now Learning)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Consultant</w:t>
            </w:r>
          </w:p>
        </w:tc>
        <w:tc>
          <w:tcPr>
            <w:tcW w:type="dxa" w:w="12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403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57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Review at least 2 completed Facilitator Guides (INT-FG-01, INT-FG-02)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Consultant</w:t>
            </w:r>
          </w:p>
        </w:tc>
        <w:tc>
          <w:tcPr>
            <w:tcW w:type="dxa" w:w="12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403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57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Review at least 2 completed How-To Guides (INT-HT-02, INT-HT-16)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Consultant</w:t>
            </w:r>
          </w:p>
        </w:tc>
        <w:tc>
          <w:tcPr>
            <w:tcW w:type="dxa" w:w="12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403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57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Shadow a sprint demo or workshop (if engagement in flight)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Practice Director</w:t>
            </w:r>
          </w:p>
        </w:tc>
        <w:tc>
          <w:tcPr>
            <w:tcW w:type="dxa" w:w="12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403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57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1:1 orientation with Practice Director (goals, expectations, first assignment)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Practice Director</w:t>
            </w:r>
          </w:p>
        </w:tc>
        <w:tc>
          <w:tcPr>
            <w:tcW w:type="dxa" w:w="12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403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3.  Week 2 — OOTB Model Deep Dive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57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Task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Owner</w:t>
            </w:r>
          </w:p>
        </w:tc>
        <w:tc>
          <w:tcPr>
            <w:tcW w:type="dxa" w:w="12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Done?</w:t>
            </w:r>
          </w:p>
        </w:tc>
        <w:tc>
          <w:tcPr>
            <w:tcW w:type="dxa" w:w="403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Notes</w:t>
            </w:r>
          </w:p>
        </w:tc>
      </w:tr>
      <w:tr>
        <w:tc>
          <w:tcPr>
            <w:tcW w:type="dxa" w:w="57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Review all 9 Adopt-vs-Re-engineer Cheatsheets (INT-AR-01 through INT-AR-14)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Consultant</w:t>
            </w:r>
          </w:p>
        </w:tc>
        <w:tc>
          <w:tcPr>
            <w:tcW w:type="dxa" w:w="12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403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57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Complete ServiceNow Scripting Fundamentals (to understand what we avoid)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Consultant</w:t>
            </w:r>
          </w:p>
        </w:tc>
        <w:tc>
          <w:tcPr>
            <w:tcW w:type="dxa" w:w="12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403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57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Review INT-TBV-01 Manager's Trust-But-Verify Playbook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Consultant</w:t>
            </w:r>
          </w:p>
        </w:tc>
        <w:tc>
          <w:tcPr>
            <w:tcW w:type="dxa" w:w="12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403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57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Set up local PDI with Incident, Catalog, and Employee Center activated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Consultant</w:t>
            </w:r>
          </w:p>
        </w:tc>
        <w:tc>
          <w:tcPr>
            <w:tcW w:type="dxa" w:w="12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403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57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Practice OOTB Incident Management demo (use INT-DS-01 Demo Script)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Consultant</w:t>
            </w:r>
          </w:p>
        </w:tc>
        <w:tc>
          <w:tcPr>
            <w:tcW w:type="dxa" w:w="12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403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57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Review INT-S0-01 Sprint 0 Facilitator Playbook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Consultant</w:t>
            </w:r>
          </w:p>
        </w:tc>
        <w:tc>
          <w:tcPr>
            <w:tcW w:type="dxa" w:w="12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403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57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Review INT-S0-05 Customization Council Charter Template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Consultant</w:t>
            </w:r>
          </w:p>
        </w:tc>
        <w:tc>
          <w:tcPr>
            <w:tcW w:type="dxa" w:w="12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403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57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Complete Customization Council governance walk-through with Practice Director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Practice Director</w:t>
            </w:r>
          </w:p>
        </w:tc>
        <w:tc>
          <w:tcPr>
            <w:tcW w:type="dxa" w:w="12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403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4.  Before First Engagement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57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Task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Owner</w:t>
            </w:r>
          </w:p>
        </w:tc>
        <w:tc>
          <w:tcPr>
            <w:tcW w:type="dxa" w:w="12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Done?</w:t>
            </w:r>
          </w:p>
        </w:tc>
        <w:tc>
          <w:tcPr>
            <w:tcW w:type="dxa" w:w="403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Notes</w:t>
            </w:r>
          </w:p>
        </w:tc>
      </w:tr>
      <w:tr>
        <w:tc>
          <w:tcPr>
            <w:tcW w:type="dxa" w:w="57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Review all INT-FG-* guides for in-scope sprints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Consultant</w:t>
            </w:r>
          </w:p>
        </w:tc>
        <w:tc>
          <w:tcPr>
            <w:tcW w:type="dxa" w:w="12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403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57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Review all INT-HT-* guides for in-scope modules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Consultant</w:t>
            </w:r>
          </w:p>
        </w:tc>
        <w:tc>
          <w:tcPr>
            <w:tcW w:type="dxa" w:w="12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403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57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Review all CLT-DT-* Decision Topic Guides for in-scope modules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Consultant</w:t>
            </w:r>
          </w:p>
        </w:tc>
        <w:tc>
          <w:tcPr>
            <w:tcW w:type="dxa" w:w="12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403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57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Review all CLT-WP-* Workshop Pre-Reads for in-scope modules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Consultant</w:t>
            </w:r>
          </w:p>
        </w:tc>
        <w:tc>
          <w:tcPr>
            <w:tcW w:type="dxa" w:w="12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403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57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Read the customer's SOW and understand scope boundaries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Engagement Manager</w:t>
            </w:r>
          </w:p>
        </w:tc>
        <w:tc>
          <w:tcPr>
            <w:tcW w:type="dxa" w:w="12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403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57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Read INT-S0-02 Customer Readiness Validation — understand what was found in Sprint 0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Consultant</w:t>
            </w:r>
          </w:p>
        </w:tc>
        <w:tc>
          <w:tcPr>
            <w:tcW w:type="dxa" w:w="12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403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57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Understand the active Risk Register (INT-S0-06)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Engagement Manager</w:t>
            </w:r>
          </w:p>
        </w:tc>
        <w:tc>
          <w:tcPr>
            <w:tcW w:type="dxa" w:w="12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403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57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Confirm access to customer Dev instance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Engagement Manager / Customer IT</w:t>
            </w:r>
          </w:p>
        </w:tc>
        <w:tc>
          <w:tcPr>
            <w:tcW w:type="dxa" w:w="12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403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57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Review INT-SS-01 Story Library for sprint 1 stories — know the backlog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Consultant</w:t>
            </w:r>
          </w:p>
        </w:tc>
        <w:tc>
          <w:tcPr>
            <w:tcW w:type="dxa" w:w="12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403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5.  Certifications and Learning Path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460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Certification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Required By</w:t>
            </w:r>
          </w:p>
        </w:tc>
        <w:tc>
          <w:tcPr>
            <w:tcW w:type="dxa" w:w="61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Priority</w:t>
            </w:r>
          </w:p>
        </w:tc>
      </w:tr>
      <w:tr>
        <w:tc>
          <w:tcPr>
            <w:tcW w:type="dxa" w:w="460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Certified System Administrator (CSA)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Within 3 months of joining</w:t>
            </w:r>
          </w:p>
        </w:tc>
        <w:tc>
          <w:tcPr>
            <w:tcW w:type="dxa" w:w="61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Mandatory</w:t>
            </w:r>
          </w:p>
        </w:tc>
      </w:tr>
      <w:tr>
        <w:tc>
          <w:tcPr>
            <w:tcW w:type="dxa" w:w="460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Certified Implementation Specialist — ITSM (CIS-ITSM)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Within 6 months</w:t>
            </w:r>
          </w:p>
        </w:tc>
        <w:tc>
          <w:tcPr>
            <w:tcW w:type="dxa" w:w="61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Mandatory for Lead Consultant role</w:t>
            </w:r>
          </w:p>
        </w:tc>
      </w:tr>
      <w:tr>
        <w:tc>
          <w:tcPr>
            <w:tcW w:type="dxa" w:w="460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Certified Implementation Specialist — ITAM (CIS-ITAM)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Within 12 months</w:t>
            </w:r>
          </w:p>
        </w:tc>
        <w:tc>
          <w:tcPr>
            <w:tcW w:type="dxa" w:w="61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Required for HAM/SAM engagements</w:t>
            </w:r>
          </w:p>
        </w:tc>
      </w:tr>
      <w:tr>
        <w:tc>
          <w:tcPr>
            <w:tcW w:type="dxa" w:w="460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Certified Implementation Specialist — Discovery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Within 12 months</w:t>
            </w:r>
          </w:p>
        </w:tc>
        <w:tc>
          <w:tcPr>
            <w:tcW w:type="dxa" w:w="61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Required for CMDB/Discovery engagements</w:t>
            </w:r>
          </w:p>
        </w:tc>
      </w:tr>
      <w:tr>
        <w:tc>
          <w:tcPr>
            <w:tcW w:type="dxa" w:w="460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ITIL 4 Foundation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Within 6 months</w:t>
            </w:r>
          </w:p>
        </w:tc>
        <w:tc>
          <w:tcPr>
            <w:tcW w:type="dxa" w:w="61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Strongly recommended</w:t>
            </w:r>
          </w:p>
        </w:tc>
      </w:tr>
      <w:tr>
        <w:tc>
          <w:tcPr>
            <w:tcW w:type="dxa" w:w="460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ServiceNow Certified Technical Architect (CTA)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Within 24 months (Senior Consultants)</w:t>
            </w:r>
          </w:p>
        </w:tc>
        <w:tc>
          <w:tcPr>
            <w:tcW w:type="dxa" w:w="61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Career development milestone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152" w:left="1440" w:header="504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9360"/>
      </w:tabs>
    </w:pPr>
    <w:r>
      <w:rPr>
        <w:rFonts w:ascii="Calibri" w:hAnsi="Calibri"/>
        <w:color w:val="475569"/>
        <w:sz w:val="16"/>
      </w:rPr>
      <w:t>ECS Federal · ServiceNow Practice  ·  Internal Use Only</w:t>
    </w:r>
    <w:r>
      <w:tab/>
    </w:r>
    <w:r>
      <w:rPr>
        <w:rFonts w:ascii="Calibri" w:hAnsi="Calibri"/>
        <w:color w:val="475569"/>
        <w:sz w:val="16"/>
      </w:rPr>
      <w:t xml:space="preserve">Page </w:t>
    </w:r>
    <w:r>
      <w:rPr>
        <w:rFonts w:ascii="Calibri" w:hAnsi="Calibri"/>
        <w:color w:val="475569"/>
        <w:sz w:val="16"/>
      </w:rPr>
      <w:fldChar w:fldCharType="begin"/>
      <w:instrText>PAGE</w:instrText>
      <w:fldChar w:fldCharType="separate"/>
      <w:fldChar w:fldCharType="end"/>
    </w:r>
    <w:r>
      <w:rPr>
        <w:rFonts w:ascii="Calibri" w:hAnsi="Calibri"/>
        <w:color w:val="475569"/>
        <w:sz w:val="16"/>
      </w:rPr>
      <w:t xml:space="preserve"> of </w:t>
    </w:r>
    <w:r>
      <w:rPr>
        <w:rFonts w:ascii="Calibri" w:hAnsi="Calibri"/>
        <w:color w:val="475569"/>
        <w:sz w:val="16"/>
      </w:rPr>
      <w:fldChar w:fldCharType="begin"/>
      <w:instrText>NUMPAGES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color="14B8A6" w:sz="8" w:space="1"/>
      </w:pBdr>
      <w:tabs>
        <w:tab w:val="right" w:pos="9360"/>
      </w:tabs>
    </w:pPr>
    <w:r>
      <w:drawing>
        <wp:inline xmlns:a="http://schemas.openxmlformats.org/drawingml/2006/main" xmlns:pic="http://schemas.openxmlformats.org/drawingml/2006/picture">
          <wp:extent cx="960120" cy="17893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everforth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60120" cy="178932"/>
                  </a:xfrm>
                  <a:prstGeom prst="rect"/>
                </pic:spPr>
              </pic:pic>
            </a:graphicData>
          </a:graphic>
        </wp:inline>
      </w:drawing>
    </w:r>
    <w:r>
      <w:tab/>
    </w:r>
    <w:r>
      <w:rPr>
        <w:rFonts w:ascii="Calibri" w:hAnsi="Calibri"/>
        <w:color w:val="475569"/>
        <w:spacing w:val="30"/>
        <w:sz w:val="18"/>
      </w:rPr>
      <w:t>Internal · INT-CH-02 Consultant Onboarding Checklist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 w:cs="Calibri" w:eastAsia="Calibri"/>
      <w:b/>
      <w:bCs/>
      <w:color w:val="0B1F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Calibri" w:hAnsi="Calibri" w:cs="Calibri" w:eastAsia="Calibri"/>
      <w:b/>
      <w:bCs/>
      <w:color w:val="0B1F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40"/>
      <w:outlineLvl w:val="2"/>
    </w:pPr>
    <w:rPr>
      <w:rFonts w:asciiTheme="majorHAnsi" w:eastAsiaTheme="majorEastAsia" w:hAnsiTheme="majorHAnsi" w:cstheme="majorBidi" w:ascii="Calibri" w:hAnsi="Calibri" w:cs="Calibri" w:eastAsia="Calibri"/>
      <w:b/>
      <w:bCs/>
      <w:color w:val="2E74B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 w:cs="Calibri" w:eastAsia="Calibri"/>
      <w:b/>
      <w:color w:val="0B1F3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