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How to Use This Glossary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glossary defines terms used in ECS deliverables, workshops, and sprint communications. It has two audiences: the ECS team (internal definitions and usage notes) and customers (plain-language definitions safe to share). Terms marked [INTERNAL] are for ECS use only.</w:t>
      </w:r>
    </w:p>
    <w:p>
      <w:pPr>
        <w:pStyle w:val="Heading1"/>
      </w:pPr>
      <w:r>
        <w:t>2.  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Term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Usage Notes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 use a ServiceNow feature or configuration exactly as it comes out of the box, without modification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Use in workshops: 'Our recommendation is to adopt the OOTB approval engine'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Accelerator Pack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 ECS-built Excel workbook that pre-fills workshop decisions, data inputs, and configuration templates for a specific ServiceNow module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Reference by artifact ID (e.g., AP-02 Incident Management Accelerator Pack)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Assignment Rule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ServiceNow OOTB mechanism that automatically assigns records to groups or users based on defined criteria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approach to routing — always use before considering workflow customization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ATF (Automated Test Framework)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built-in testing platform for validating configuration against a suite of automated test cases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Activate in Dev by Sprint 1; use for regression testing at each sprint demo</w:t>
            </w:r>
          </w:p>
        </w:tc>
      </w:tr>
    </w:tbl>
    <w:p>
      <w:pPr>
        <w:spacing w:after="40"/>
      </w:pPr>
    </w:p>
    <w:p>
      <w:pPr>
        <w:pStyle w:val="Heading1"/>
      </w:pPr>
      <w:r>
        <w:t>3.  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Term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Usage Notes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Catalog Item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service or product offering in the ServiceNow Service Catalog that users can request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catalog items use variables — avoid client-side scripts on variables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(Configuration Management Database)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ServiceNow data store for Configuration Items (CIs) and their relationships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CMDB uses the Common Service Data Model — do not create custom CI classes without CMDB team approval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CIS (Certified Implementation Specialist)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certification for module-specific implementation expertise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requires CIS-ITSM for Lead Consultants within 6 months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Any change to ServiceNow that goes beyond standard OOTB configuration — including custom scripts, custom tables, or modified base system records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[INTERNAL] Flag every customization request through the Customization Council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ECS governance body that reviews, classifies, and approves or rejects all customization requests during an engagement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Meets bi-weekly; decisions logged in INT-TBV-03 Variance Tracker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Debt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accumulated burden of custom code that must be maintained, tested, and re-implemented with each ServiceNow upgrade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[INTERNAL] Primary risk metric — track in INT-TBV-03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 (Common Service Data Model)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standard data model for organizing IT services, applications, and infrastructure in the CMDB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 foundational activity — must be completed before Discovery and service mapping</w:t>
            </w:r>
          </w:p>
        </w:tc>
      </w:tr>
    </w:tbl>
    <w:p>
      <w:pPr>
        <w:spacing w:after="40"/>
      </w:pPr>
    </w:p>
    <w:p>
      <w:pPr>
        <w:pStyle w:val="Heading1"/>
      </w:pPr>
      <w:r>
        <w:t>4.  D – 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Term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Usage Notes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Topic Guide (DTG)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 ECS client-facing document that frames a specific OOTB configuration decision and presents options with recommendations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Distribute before workshops; collect decisions in the Accelerator Pack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automated CI discovery tool that scans the network to populate the CMDB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4/5 scope — requires MID Server; plan 2-3 weeks for initial population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Center (EC)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OOTB unified employee portal for accessing HR, IT, and other services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in the HR and ITSM license bundles — no custom portal needed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Facilitator Guide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 ECS internal document that scripts every step of a sprint workshop, including decision prompts, common objections, and expected outputs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Reference by artifact ID (e.g., INT-FG-02 Incident Management Facilitator Guide)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FedRAMP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Federal Risk and Authorization Management Program — the US government security authorization framework for cloud services. ServiceNow maintains a FedRAMP High authorization.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OOTB platform is FedRAMP-authorized; customizations that move data outside the authorized boundary may affect compliance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Flow Designer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OOTB low-code workflow automation tool — the preferred approach over legacy Workflow Editor for all new Sprint work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Use Flow Designer for all new automated flows; avoid legacy workflow unless required for backward compatibility</w:t>
            </w:r>
          </w:p>
        </w:tc>
      </w:tr>
    </w:tbl>
    <w:p>
      <w:pPr>
        <w:spacing w:after="40"/>
      </w:pPr>
    </w:p>
    <w:p>
      <w:pPr>
        <w:pStyle w:val="Heading1"/>
      </w:pPr>
      <w:r>
        <w:t>5.  G – 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Term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Usage Notes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GlideRecord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server-side API for database queries. Powerful but must be used on the server side only.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[INTERNAL] Flag any client-side GlideRecord usage as a Tier 2/3 concern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 (Hardware Asset Management)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ServiceNow module for tracking and managing hardware assets through their lifecycle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 scope — requires CMDB foundation from Sprint 4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post-go-live stabilization period (typically 2-4 weeks) during which ECS provides elevated support before transitioning to BAU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Define hypercare SLA in SOW; scope must be explicit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Java-based application installed on a customer server that facilitates secure communication between ServiceNow and on-premises systems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 for Discovery and some integrations — plan installation in Sprint 0/1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Now Assist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generative AI feature set, including AI-generated incident summaries, resolution notes, and virtual agent responses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data model required for Now Assist to function — customized data models degrade AI output quality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(Out of the Box)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functionality delivered natively in the platform without custom code or configuration beyond standard setup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ECS delivery standard — every decision starts with 'can OOTB do this?'</w:t>
            </w:r>
          </w:p>
        </w:tc>
      </w:tr>
    </w:tbl>
    <w:p>
      <w:pPr>
        <w:spacing w:after="40"/>
      </w:pPr>
    </w:p>
    <w:p>
      <w:pPr>
        <w:pStyle w:val="Heading1"/>
      </w:pPr>
      <w:r>
        <w:t>6.  P – Z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Term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Usage Notes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Performance Analytics (PA)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OOTB analytics and KPI dashboard platform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 scope — data must be clean by sprint 6 for meaningful dashboards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Predictive Intelligence (PI)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ML-based feature for auto-categorizing and routing records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Requires 3-6 months of historical data; activate in Sprint 1, harvest in Sprint 6+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 rebuild a business process using ServiceNow OOTB capabilities rather than replicating the legacy process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Preferred outcome: the customer adopts OOTB process design, not legacy replication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(Software Asset Management)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ServiceNow module for tracking software licenses, entitlements, and compliance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 scope — requires CMDB and HAM foundation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SLA (Service Level Agreement)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contractual service response and resolution time commitment, managed in ServiceNow using the SLA module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Always use the OOTB SLA module — never custom SLA calculations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Demo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bi-weekly working software demonstration to customer stakeholders at the end of each sprint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[INTERNAL] Reference INT-TBV-06 Sprint Demo Discipline Audit before each demo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Update Set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ServiceNow container for grouping configuration changes that can be moved between instances (Dev → Test → Prod)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Name convention: ECS_[Module]_[Sprint]_v[n] — enforce from Sprint 0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Virtual Agent (VA)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OOTB chatbot and conversational AI platform for self-service support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 scope — configure OOTB topics before any NLU customization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INT-CH-04 OOTB-First Glossary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