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Why OOTB-First Is a Competitive Differentiator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Most ServiceNow implementers say they follow best practices. ECS actually enforces them through a structured governance model. When you talk to a prospect, anchor on outcomes — not methodology. The prospect cares about speed to value, lower risk, and staying current. OOTB-first delivers all three.</w:t>
      </w:r>
    </w:p>
    <w:p>
      <w:pPr>
        <w:pStyle w:val="Heading1"/>
      </w:pPr>
      <w:r>
        <w:t>2.  Core Value Messages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Message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Means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Supporting Evidence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Faster time-to-value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Our 18-week structured sprint model delivers live capabilities every two weeks — not one big bang at month 6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demo cadence; Sprints 1-2 go live in first 6 weeks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Lower total cost of ownership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Every customization you add is a future upgrade tax. We protect you from that.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upgrade studies: custom code doubles upgrade effort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Reduced implementation risk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configurations have been tested by thousands of orgs. Custom code hasn't.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references; zero OOTB regression risk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Platform investment protection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Your ServiceNow license value compounds as you stay on supported upgrade paths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Customers who stay OOTB see 40-60% faster upgrades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AI readiness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Now Assist and Predictive Intelligence work best on clean, OOTB data models. Customizations break AI features.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Now Assist GA requirements documentation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Federal compliance alignment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configurations align with FedRAMP-authorized platform controls out of the box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FedRAMP documentation</w:t>
            </w:r>
          </w:p>
        </w:tc>
      </w:tr>
    </w:tbl>
    <w:p>
      <w:pPr>
        <w:spacing w:after="40"/>
      </w:pPr>
    </w:p>
    <w:p>
      <w:pPr>
        <w:pStyle w:val="Heading1"/>
      </w:pPr>
      <w:r>
        <w:t>3.  What to Say (and What Not to Say)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Situation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SAY This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AVOID This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Prospect asks about customization flexibility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 configure ServiceNow to meet your process requirements using the full power of the OOTB platform. We only customize when there is no other way.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 don't allow customizations / We do whatever you need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Prospect pushes back on 18-week timeline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18 weeks is a structured delivery with working software every sprint. Week 6 you'll have live incident management. It's not a waterfall.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 can compress it if you need / It depends on scope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Prospect mentions a previous failed implementation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they described is exactly what happens when customization debt accumulates. Our model prevents that by design.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That implementation team wasn't as experienced as us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Prospect asks why OOTB over custom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 spent $1B+ building the OOTB platform. The question isn't why use it — it's why would you pay to rebuild what's already there.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Because it's cheaper / Because we're faster at OOTB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Prospect has IT team that wants to customize everything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Your IT team's energy is best spent on integrations and business rules — not recreating platform features. We'll show you what OOTB can do in Sprint 1.</w:t>
            </w:r>
          </w:p>
        </w:tc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Your IT team will have to accept the OOTB way</w:t>
            </w:r>
          </w:p>
        </w:tc>
      </w:tr>
    </w:tbl>
    <w:p>
      <w:pPr>
        <w:spacing w:after="40"/>
      </w:pPr>
    </w:p>
    <w:p>
      <w:pPr>
        <w:pStyle w:val="Heading1"/>
      </w:pPr>
      <w:r>
        <w:t>4.  Positioning Against Competitors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Competitor Approach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Counter-Position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customize everything to fit your process'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is technical debt. We adopt best-practice processes that are embedded in the platform — and we help you retire the exceptions that don't justify the cost.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have a faster delivery model'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Speed without governance creates the kind of messes we get called in to fix. Our 18-week model is fast and sustainable.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'We'll migrate your legacy process exactly as-is'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Replicating a broken process in a new tool is not a transformation. We help you rationalize processes before we configure them.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have a proprietary accelerator that makes us faster'</w:t>
            </w:r>
          </w:p>
        </w:tc>
        <w:tc>
          <w:tcPr>
            <w:tcW w:type="dxa" w:w="92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Our accelerators are transparent deliverables you own — not black boxes. Every sprint you see exactly what was built.</w:t>
            </w:r>
          </w:p>
        </w:tc>
      </w:tr>
    </w:tbl>
    <w:p>
      <w:pPr>
        <w:spacing w:after="40"/>
      </w:pPr>
    </w:p>
    <w:p>
      <w:pPr>
        <w:pStyle w:val="Heading1"/>
      </w:pPr>
      <w:r>
        <w:t>5.  Proof Points to Memorize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Use these when the conversation gets specific: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- OOTB ServiceNow can handle 95%+ of standard ITSM, ITAM, and CMDB requirements without custom code</w:t>
        <w:br/>
        <w:t>- Customers who go OOTB see 30-50% lower Year 2 support costs (no custom code to maintain)</w:t>
        <w:br/>
        <w:t>- Every Sprint 1 customer ECS has delivered has achieved live incident management by week 6</w:t>
        <w:br/>
        <w:t>- The Now Platform upgrades 2x per year — staying OOTB means your investment stays current automatically</w:t>
        <w:br/>
        <w:t>- AI features (Now Assist, Predictive Intelligence) are blocked or degraded by non-OOTB data models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INT-SP-01 Sales Talking Points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