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How to Use This Question Bank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Use these questions across 1-3 discovery sessions before SOW development. Not all questions are appropriate for every call — select based on conversation context and audience. Mark answers in your notes; high-risk answers should shape SOW scope and Sprint 0 planning.</w:t>
      </w:r>
    </w:p>
    <w:p>
      <w:pPr>
        <w:pStyle w:val="Heading1"/>
      </w:pPr>
      <w:r>
        <w:t>2.  1. Platform and Technical Baseline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Why It Matters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High-Risk Answer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ServiceNow modules are currently licensed?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Confirms scope boundaries and prevents out-of-scope assumptions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Unknown or 'we'll find out' — means no license inventory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version are you on today?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Pre-Quebec instances have significant OOTB gaps; affects sprint planning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Pre-Quebec or customer doesn't know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How many update sets are in your current instance?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 update set count = high customization debt = higher risk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More than 50 unexplained update sets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Have you had a ServiceNow Health Scan or Technical Assessment?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Health Scan reveals hidden technical debt before we scope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— means we're scoping blind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Who administers the ServiceNow instance today?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Determines whether we have a capable customer IT partner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External party not engaged in the project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Are you on a shared instance or dedicated?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Shared instances have change control restrictions that affect sprint velocity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Shared with other business units or agencies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 you have a Dev / Test / Prod environment separation?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separation = no safe place to configure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— all work goes directly to production</w:t>
            </w:r>
          </w:p>
        </w:tc>
      </w:tr>
    </w:tbl>
    <w:p>
      <w:pPr>
        <w:spacing w:after="40"/>
      </w:pPr>
    </w:p>
    <w:p>
      <w:pPr>
        <w:pStyle w:val="Heading1"/>
      </w:pPr>
      <w:r>
        <w:t>3.  2. Process and Organizational Readiness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Why It Matters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High-Risk Answer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Who are the process owners for ITSM today?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owners are required for workshop participation and decision-making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identified process owners / IT owns everything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How are incidents managed today — tool and process?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Baseline for OOTB gap analysis in Sprint 1 workshops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Multiple tools, no standard process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does your current approval process look like?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Complex approval chains often drive customization requests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More than 3 sequential approval levels for routine requests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How many catalog items do you currently have, and how were they built?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Large custom catalog = Sprint 2 re-rationalization effort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More than 200 items, most custom-built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Have you documented your ITSM processes?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Undocumented process = workshop will surface surprises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documented processes or last updated more than 3 years ago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is your change advisory board (CAB) model?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Non-standard CAB models often require Change module customization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Daily CAB with 30+ approvers, or no CAB at all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percentage of incidents are handled via self-service today?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 self-service adoption = Virtual Agent/Employee Center priority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Under 20% self-service adoption</w:t>
            </w:r>
          </w:p>
        </w:tc>
      </w:tr>
    </w:tbl>
    <w:p>
      <w:pPr>
        <w:spacing w:after="40"/>
      </w:pPr>
    </w:p>
    <w:p>
      <w:pPr>
        <w:pStyle w:val="Heading1"/>
      </w:pPr>
      <w:r>
        <w:t>4.  3. Stakeholder and Governance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Why It Matters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High-Risk Answer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Who has final authority on process design decisions?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Unclear authority = delayed decisions = sprint blockers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Committee of 10+ stakeholders, no clear tie-breaker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Has IT leadership aligned on the OOTB-first delivery model?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Without IT buy-in, customization pressure will derail delivery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leadership not yet engaged / heard about project third-hand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happened with your last ServiceNow project (if any)?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Past failures reveal organizational and technical risk patterns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Prior project was cancelled, went over budget, or was never adopted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Who will be the dedicated customer PM for this engagement?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Part-time PMs create communication gaps and decision delays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PM is also handling 3 other projects / PM not yet identified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Is there a change management / OCM workstream?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Without OCM, user adoption fails regardless of technical quality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OCM plan / IT will handle all communications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is the executive sponsor's level of engagement?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Disengaged sponsors cannot break customization deadlocks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Sponsor is 'available for escalations only'</w:t>
            </w:r>
          </w:p>
        </w:tc>
      </w:tr>
    </w:tbl>
    <w:p>
      <w:pPr>
        <w:spacing w:after="40"/>
      </w:pPr>
    </w:p>
    <w:p>
      <w:pPr>
        <w:pStyle w:val="Heading1"/>
      </w:pPr>
      <w:r>
        <w:t>5.  4. Scope and Commercial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Why It Matters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High-Risk Answer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modules are in scope for this engagement?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Uncontrolled scope is the #1 cause of OOTB delivery failure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of them / whatever you think we need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does 'go-live' mean to your organization?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Different definitions of go-live create project end-state ambiguity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 feature parity with legacy system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are the hard deadlines, if any?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Regulatory or audit deadlines compress sprint flexibility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Must go live by a date that doesn't allow 18 weeks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is the budget envelope for this project?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Under-budgeted projects lead to scope pressure and OOTB shortcuts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Budget not yet approved / we'll figure it out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Are there any known integration requirements?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Undisclosed integrations appear as late-sprint blockers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Probably 10-15, we'll document them later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Are legacy systems being decommissioned?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Parallel-run commitments extend project duration and team bandwidth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Legacy system stays live indefinitely as fallback</w:t>
            </w:r>
          </w:p>
        </w:tc>
      </w:tr>
    </w:tbl>
    <w:p>
      <w:pPr>
        <w:spacing w:after="40"/>
      </w:pPr>
    </w:p>
    <w:p>
      <w:pPr>
        <w:pStyle w:val="Heading1"/>
      </w:pPr>
      <w:r>
        <w:t>6.  Scoring Guide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After each discovery session, count high-risk answers: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High-Risk Count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Assessment</w:t>
            </w:r>
          </w:p>
        </w:tc>
        <w:tc>
          <w:tcPr>
            <w:tcW w:type="dxa" w:w="72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Recommended Action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0-2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 risk — strong candidate for standard 18-week model</w:t>
            </w:r>
          </w:p>
        </w:tc>
        <w:tc>
          <w:tcPr>
            <w:tcW w:type="dxa" w:w="72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Proceed to SOW development with standard scope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3-5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Moderate risk — addressable in Sprint 0 with targeted interventions</w:t>
            </w:r>
          </w:p>
        </w:tc>
        <w:tc>
          <w:tcPr>
            <w:tcW w:type="dxa" w:w="72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Add Sprint 0 readiness conditions to SOW; plan targeted workshops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6-9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 risk — engagement requires pre-Sprint 0 remediation work</w:t>
            </w:r>
          </w:p>
        </w:tc>
        <w:tc>
          <w:tcPr>
            <w:tcW w:type="dxa" w:w="72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Recommend pre-engagement readiness workstream; adjust timeline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10+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Very high risk — not ready for structured delivery</w:t>
            </w:r>
          </w:p>
        </w:tc>
        <w:tc>
          <w:tcPr>
            <w:tcW w:type="dxa" w:w="72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Hold SOW; recommend assessment engagement first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INT-SP-02 Discovery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