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How to Use This Guide</w:t>
      </w:r>
    </w:p>
    <w:p>
      <w:pPr>
        <w:spacing w:after="160" w:before="0"/>
      </w:pPr>
      <w:r>
        <w:rPr>
          <w:rFonts w:ascii="Calibri" w:hAnsi="Calibri"/>
          <w:color w:val="1A1A1A"/>
          <w:sz w:val="22"/>
        </w:rPr>
        <w:t>Each objection below includes: the customer's underlying concern (not just their words), the recommended response, and what to avoid saying. Objections are grouped by source — IT stakeholders tend to raise technical objections; business stakeholders raise process objections; executives raise risk/cost objections.</w:t>
      </w:r>
    </w:p>
    <w:p>
      <w:pPr>
        <w:pStyle w:val="Heading1"/>
      </w:pPr>
      <w:r>
        <w:t>2.  IT Stakeholder Objections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Underlying Concern</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Recommended Response</w:t>
            </w:r>
          </w:p>
        </w:tc>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Avoid</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'We've customized ServiceNow for years — you can't just undo all of that'</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Fear of wasted past investment and loss of perceived control</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We're not here to undo your work. We're here to rationalize it. Sprint 0 is specifically designed to assess what stays, what gets rebuilt OOTB, and what gets retired. Nothing disappears without a documented decision.</w:t>
            </w:r>
          </w:p>
        </w:tc>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Saying their customizations were wrong or wasteful</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process is unique — OOTB won't cover it'</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Belief that their organization's processes are more complex than standard</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Every organization believes their process is unique. What we find is that 90% of the uniqueness is in terminology and org structure — not in the underlying process logic. OOTB covers the process; we configure the presentation.</w:t>
            </w:r>
          </w:p>
        </w:tc>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Dismissing the concern or proving them wrong with data upfront</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custom reporting that isn't in OOTB'</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Real or perceived gap in native reporting capabilities</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Performance Analytics is one of the most powerful OOTB reporting tools on the market. Walk us through your top 5 report requirements and we'll show you exactly how to build them OOTB before we scope anything custom.</w:t>
            </w:r>
          </w:p>
        </w:tc>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Promising custom reports before seeing requirements</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happens at upgrade time with our OOTB config?'</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Valid concern about configuration stability across upgrades</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configurations upgrade automatically. That's the entire point. ServiceNow tests every upgrade against all OOTB configurations. Your ECS-built configuration travels with the upgrade — no re-work.</w:t>
            </w:r>
          </w:p>
        </w:tc>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Oversimplifying — some configuration (like catalog items) does require review</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to own the code, not be locked into ServiceNow's model'</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Desire for technical control and portability</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configurations are fully portable — they're yours in update sets. What you're describing as 'locking in' is actually the opposite: custom code locks you to a specific version. OOTB keeps you current.</w:t>
            </w:r>
          </w:p>
        </w:tc>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Getting into a philosophical debate about vendor lock-in</w:t>
            </w:r>
          </w:p>
        </w:tc>
      </w:tr>
    </w:tbl>
    <w:p>
      <w:pPr>
        <w:spacing w:after="40"/>
      </w:pPr>
    </w:p>
    <w:p>
      <w:pPr>
        <w:pStyle w:val="Heading1"/>
      </w:pPr>
      <w:r>
        <w:t>3.  Business Stakeholder Objections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Underlying Concern</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Recommended Response</w:t>
            </w:r>
          </w:p>
        </w:tc>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Avoid</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'Our staff won't adopt a system that doesn't match how we work'</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 adoption risk — legitimate concern</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OOTB model includes Employee Center and Virtual Agent specifically to make the experience match how people work today. What we don't do is replicate legacy broken processes just because people are used to them.</w:t>
            </w:r>
          </w:p>
        </w:tc>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Promising the tool will feel exactly like the legacy system</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'We've had bad experiences with 'best practice' implementations before'</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Past trauma from rigid consultants who didn't listen</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Best practice doesn't mean ignoring your context. We use OOTB as the baseline and then configure it to your environment — language, org structure, approval flows, categories. What we protect is the underlying data model.</w:t>
            </w:r>
          </w:p>
        </w:tc>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Being defensive about other consulting firms or approaches</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'18 weeks seems too fast — we need more time'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Fear of being rushed into decisions</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18-week model actually gives you more time — because every sprint produces working software you can react to. You're not signing off on requirements for 6 months and hoping it's right. You see it, you validate it, you adjust.</w:t>
            </w:r>
          </w:p>
        </w:tc>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Promising to slow down the timeline without understanding the concern</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approvals are complex — OOTB approval engine can't handle it'</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Belief that their approval hierarchy is uniquely complex</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ServiceNow approval engine handles sequential, parallel, dynamic, and conditional approvals natively. Walk us through your most complex approval scenario and we'll show you the OOTB configuration before we discuss any customization.</w:t>
            </w:r>
          </w:p>
        </w:tc>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Promising to customize before doing the demo</w:t>
            </w:r>
          </w:p>
        </w:tc>
      </w:tr>
    </w:tbl>
    <w:p>
      <w:pPr>
        <w:spacing w:after="40"/>
      </w:pPr>
    </w:p>
    <w:p>
      <w:pPr>
        <w:pStyle w:val="Heading1"/>
      </w:pPr>
      <w:r>
        <w:t>4.  Executive Objections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Underlying Concern</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Recommended Response</w:t>
            </w:r>
          </w:p>
        </w:tc>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Avoid</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'Why should I pay ECS when I can get a cheaper implementation?'</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Cost justification and value differentiation</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Cheaper implementations are cheaper because they don't include governance. What you get is fast configuration and a year-2 remediation engagement. Our structured model is the investment that prevents the cleanup project.</w:t>
            </w:r>
          </w:p>
        </w:tc>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Attacking competitors directly</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'What's the risk if this doesn't work?'</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Fear of wasted budget and organizational disruption</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sprint-based model means risk is bounded per sprint — not at go-live. If something isn't working, we know by week 4, not week 18. Every sprint produces a demo you can validate before we move forward.</w:t>
            </w:r>
          </w:p>
        </w:tc>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Downplaying risk or over-promising</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'Can you guarantee we'll go live in 18 weeks?'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Need for commitment and predictability</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18-week model is designed for standard scope delivered OOTB. What we can guarantee is that any deviation from OOTB scope will be flagged to you before it affects the timeline — not after. You'll always know where we stand.</w:t>
            </w:r>
          </w:p>
        </w:tc>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Making unconditional guarantees or hedging so much it sounds like a no</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need this done in 12 weeks'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External deadline pressure (audit, contract, agency mandate)</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Tell us about the hard constraint. In most cases, we can prioritize the modules needed for the deadline in the first 12 weeks and plan the remainder as Phase 2. What we won't do is compress all 18 weeks of scope into 12 — that's where quality fails.</w:t>
            </w:r>
          </w:p>
        </w:tc>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Agreeing to compress without understanding what's being cut</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INT-SP-03 Objection Handling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