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checklist must be completed by the ECS Engagement Manager before a ServiceNow OOTB implementation SOW is submitted for customer signature. Its purpose is to validate that scope is well-defined, timeline is achievable, and the OOTB delivery model can be protected for the entire engagement.</w:t>
      </w:r>
    </w:p>
    <w:p>
      <w:pPr>
        <w:pStyle w:val="Heading1"/>
      </w:pPr>
      <w:r>
        <w:t>2.  1. Scope Clarity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 (Y/N/NA)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in-scope ServiceNow modules explicitly listed in the SOW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out-of-scope items explicitly listed or referenced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does not include open-ended 'as needed' customization language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Integrations in scope are listed by name and source system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Integrations out of scope are explicitly excluded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migration scope is explicit (volume, source, transformation rules)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Reporting scope is limited to OOTB Performance Analytics or described explicitly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scope defined (who conducts, how many cycles, acceptance criteria)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period defined (duration, support model, SLA)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2. Timeline and Sprint Alignment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 (Y/N/NA)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18-week sprint plan maps scope to specific sprints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 (2 weeks) explicitly included in the timeline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hard deadlines identified and factored into sprint plan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 dates pre-agreed with customer (or placeholder process defined)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SME time commitment quantified (hours/week per sprint)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scope item requires more than 1 sprint to deliver without an explicit multi-sprint plan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3. OOTB-First Defensibility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 (Y/N/NA)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references the OOTB-first delivery model explicitly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governance process referenced in SOW (Customization Council or equivalent)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control process defined — scope changes require written amendment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does not promise to replicate legacy system behavior exactly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does not include open-ended catalog item build (e.g. 'up to X catalog items')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guardrails communicated to customer before SOW signature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4. Commercial and Risk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 (Y/N/NA)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Resource plan confirmed — named or role-defined ECS resources for all sprints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Customer-side resource plan confirmed (PM, SMEs, IT admin)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Assumptions section in SOW is comprehensive and reviewed by Practice Director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Out-of-scope triggers defined (what requires a change order)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Travel policy and expenses addressed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IP ownership (update sets, scripts, documentation) addressed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reviewed by ECS Practice Director before submission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legal reviewed and no open redlines affect delivery model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Sign-Off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Approved (Y/N)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Practice Director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Account Executive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any check is marked N: document the gap and confirm with Practice Director before SOW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INT-SP-04 SOW Scope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