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Purpose and When to Use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guide is used when a prospect has an existing ServiceNow instance. The goal is a rapid (2-4 hour) technical baseline that informs accurate SOW scoping and identifies risks before the engagement begins. This is not a full health scan — it is a scoping snapshot.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Request read-only admin access to the Dev or Production instance for 2 hours. Never make changes during a pre-engagement assessment.</w:t>
      </w:r>
    </w:p>
    <w:p>
      <w:pPr>
        <w:pStyle w:val="Heading1"/>
      </w:pPr>
      <w:r>
        <w:t>2.  1. Instance Baseline Checks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How to Find It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Document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version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 Diagnostics &gt; Stats or system_properties.list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Version number and patch level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plugins / scoped apps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System Applications &gt; All Applications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Count of active scoped apps; flag non-standard apps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tables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sys_db_object.list — filter: scope not in [global, sn_*]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Count; flag any that replicate incident/task/catalog tables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 set count (all states)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sys_update_set.list — count all records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count; flag if &gt; 100 unexplained sets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business rules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sys_script.list — filter: active=true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Count; note any in global scope modifying core tables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client scripts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sys_script_client.list — filter: active=true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Count; flag any using GlideAjax or REST calls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workflows / Flow Designer flows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wf_workflow.list + sys_hub_flow.list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Count of each; flag any with conditional branching &gt; 3 levels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item count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sc_cat_item.list — count active items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Total; flag if &gt; 150 items (indicates rationalization needed)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Number of active users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sys_user.list — filter: active=true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Count by department if accessible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incident/request backlog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incident.list + sc_request.list — filter: active=true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Volume; flag if &gt; 5,000 active records (data migration scope)</w:t>
            </w:r>
          </w:p>
        </w:tc>
      </w:tr>
    </w:tbl>
    <w:p>
      <w:pPr>
        <w:spacing w:after="40"/>
      </w:pPr>
    </w:p>
    <w:p>
      <w:pPr>
        <w:pStyle w:val="Heading1"/>
      </w:pPr>
      <w:r>
        <w:t>3.  2. Customization Debt Indicators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Indicator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Where to Find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Risk Level if Present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JavaScript in catalog variables (UI policies with scripts)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sc_item_option.list → variable_set scripts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— client-side JS breaks on upgrades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Hard-coded sys_ids in scripts or workflows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Search sys_script for patterns like 'sys_id == '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— breaks with any data migration or refresh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tables inheriting from task but adding &gt; 10 fields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sys_db_object — check extension depth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 — indicates process that could be OOTB catalog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Overridden OOB UI Actions (e.g., custom Resolve button)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sys_ui_action.list — filter: category=button, scope=global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 — creates upgrade conflict risk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Non-standard SLA configurations (custom scripts in SLA conditions)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contract_sla.list — check pause/resume conditions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 — SLA reporting will be unreliable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Notification records with custom HTML (external links, images)</w:t>
            </w:r>
          </w:p>
        </w:tc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sysevent_email_action.list — check content_html field</w:t>
            </w:r>
          </w:p>
        </w:tc>
        <w:tc>
          <w:tcPr>
            <w:tcW w:type="dxa" w:w="60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 — manageable but adds Sprint 3 cleanup work</w:t>
            </w:r>
          </w:p>
        </w:tc>
      </w:tr>
    </w:tbl>
    <w:p>
      <w:pPr>
        <w:spacing w:after="40"/>
      </w:pPr>
    </w:p>
    <w:p>
      <w:pPr>
        <w:pStyle w:val="Heading1"/>
      </w:pPr>
      <w:r>
        <w:t>4.  3. Sprint Impact Matrix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After completing the assessment, map findings to sprint impact: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Finding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Likely Sprint Impact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SOW Consideration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 customization debt (&gt; 50 custom scripts)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0 requires extra week; Sprint 1-2 workshops will surface conflicts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 Sprint 0 remediation task; buffer Sprint 1 by 3 days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Large catalog (&gt; 150 items)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Catalog rationalization will take full sprint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catalog rationalization as explicit Sprint 2 deliverable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Dev/Test/Prod separation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sprints carry elevated risk; customer IT engagement required immediately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assumption: Dev environment established before Sprint 1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Outdated version (pre-Quebec)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How-To guides and accelerator packs need version validation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 platform upgrade as pre-Sprint-0 activity or separate SOW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Large open backlogs (&gt; 10K records)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migration scope expands; Sprint 0 data strategy session required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 data migration as explicit scope item with volume cap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 process owners identified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scheduling at risk; decisions will be delayed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SOW assumption: named SMEs confirmed before Sprint 1</w:t>
            </w:r>
          </w:p>
        </w:tc>
      </w:tr>
    </w:tbl>
    <w:p>
      <w:pPr>
        <w:spacing w:after="40"/>
      </w:pPr>
    </w:p>
    <w:p>
      <w:pPr>
        <w:pStyle w:val="Heading1"/>
      </w:pPr>
      <w:r>
        <w:t>5.  4. Assessment Output Template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Document findings in this format and share with the Engagement Manager within 24 hours of the assessment: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Finding</w:t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Risk Rating</w:t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SOW Action Required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Instance Baseline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Debt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Volume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Environment Readiness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Readiness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Overall Assessment</w:t>
            </w:r>
          </w:p>
        </w:tc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Risk Rating key: Green = No significant risk | Amber = Manageable with mitigation | Red = Blocker — requires pre-engagement work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INT-SP-05 Technical Assessment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