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How to Use These Blocks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Each block below is a ready-to-use narrative section for proposals, RFP responses, or capability statements. Copy and adjust as needed — replace [bracketed] items with customer-specific language. Blocks are modular; combine as appropriate for the proposal format.</w:t>
      </w:r>
    </w:p>
    <w:p>
      <w:pPr>
        <w:pStyle w:val="Heading1"/>
      </w:pPr>
      <w:r>
        <w:t>2.  Block 1: ECS OOTB-First Delivery Model (200 words)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ECS Federal's ServiceNow delivery practice is built on a single principle: the platform already has the answer. Our Out-of-the-Box (OOTB) First delivery model ensures every configuration decision starts with the question 'can the native platform do this?' before any custom development is considered.</w:t>
        <w:br/>
        <w:br/>
        <w:t>This approach is not a constraint — it is a strategic discipline that protects your investment. ServiceNow's OOTB platform handles 95%+ of standard ITSM, ITAM, and CMDB requirements without custom code. Every line of custom code you add becomes a future upgrade obligation. Every OOTB configuration you adopt upgrades automatically.</w:t>
        <w:br/>
        <w:br/>
        <w:t>Our 18-week structured sprint model delivers live capabilities in two-week increments. By week six, [Customer Name] will have live incident management. By week twelve, your service catalog and employee portal will be operational. By week eighteen, the full platform investment will be realized — sustainably, on an upgrade-compatible foundation.</w:t>
        <w:br/>
        <w:br/>
        <w:t>ECS Federal does not deliver ServiceNow implementations. We deliver platform transformations that last.</w:t>
      </w:r>
    </w:p>
    <w:p>
      <w:pPr>
        <w:pStyle w:val="Heading1"/>
      </w:pPr>
      <w:r>
        <w:t>3.  Block 2: Sprint Delivery Methodology (150 words)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ECS Federal's 18-week OOTB-First Sprint Model structures ServiceNow delivery into six two-week sprints, preceded by a two-week Sprint 0 engagement setup phase. Each sprint follows a consistent pattern: workshop-driven requirements gathering, OOTB-first configuration, sprint demo to stakeholders, and retrospective-driven refinement.</w:t>
        <w:br/>
        <w:br/>
        <w:t>This model eliminates the most common failure mode in ServiceNow implementations: the late-stage discovery. Because every sprint produces working software that customer stakeholders validate, surprises surface in week four — not week sixteen. Scope changes are managed through a formal Customization Council governance process, ensuring that every deviation from OOTB is a conscious, documented business decision.</w:t>
        <w:br/>
        <w:br/>
        <w:t>[Customer Name]'s team participates actively in workshops, UAT, and sprint demos. By the time the engagement concludes, your team has the knowledge and the platform to sustain what was built — without a permanent services dependency.</w:t>
      </w:r>
    </w:p>
    <w:p>
      <w:pPr>
        <w:pStyle w:val="Heading1"/>
      </w:pPr>
      <w:r>
        <w:t>4.  Block 3: Governance Model (100 words)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ECS Federal's Customization Council governance model ensures that OOTB platform integrity is protected throughout delivery. Every customization request is classified by tier — Strategic, Tactical, or Operational — and resolved through a structured decision process with documented rationale. No customization is implemented without a business justification that cannot be achieved through OOTB configuration.</w:t>
        <w:br/>
        <w:br/>
        <w:t>The Council meets bi-weekly, aligned with sprint demos. Decisions are logged in the Customization Variance Tracker and visible to customer leadership at all times. This transparency protects [Customer Name]'s ServiceNow investment and creates an auditable record of every platform decision made during the engagement.</w:t>
      </w:r>
    </w:p>
    <w:p>
      <w:pPr>
        <w:pStyle w:val="Heading1"/>
      </w:pPr>
      <w:r>
        <w:t>5.  Block 4: Team and Expertise (100 words)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ECS Federal's ServiceNow delivery team combines platform-certified architects, ITSM process experts, and federal sector specialists. Every ECS engagement is staffed with a certified ServiceNow Implementation Specialist as Lead Consultant, supported by a dedicated Engagement Manager and access to our Practice Director for escalation.</w:t>
        <w:br/>
        <w:br/>
        <w:t>Our consultants are trained in the ECS OOTB-First methodology — not just ServiceNow configuration. They know when to push back on a customization request and how to show a customer that OOTB is the better answer. This is the combination of technical depth and delivery discipline that produces sustainable implementations.</w:t>
      </w:r>
    </w:p>
    <w:p>
      <w:pPr>
        <w:pStyle w:val="Heading1"/>
      </w:pPr>
      <w:r>
        <w:t>6.  Block 5: Past Performance (Template — fill in with actual references)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[Agency / Organization Name] engaged ECS Federal to implement ServiceNow ITSM and [module(s)] for [number] users across [number] sites. ECS delivered the engagement using the OOTB-First sprint model in [X] weeks. Key outcomes included: [outcome 1], [outcome 2], [outcome 3]. The engagement was delivered [on/under] budget with [zero/minimal] post-go-live customization requests. Customer satisfaction rating: [X]/5.</w:t>
        <w:br/>
        <w:br/>
        <w:t>Reference contact: [Name, Title, Phone, Email — confirm currency before submitting]</w:t>
      </w:r>
    </w:p>
    <w:p>
      <w:pPr>
        <w:pStyle w:val="Heading1"/>
      </w:pPr>
      <w:r>
        <w:t>7.  Block 6: Why ECS Over a Larger SI (100 words)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Large system integrators optimize for billable hours. ECS Federal optimizes for sustainable outcomes. Our OOTB-First model reduces total implementation hours by eliminating the custom-code cycles that drive large SI revenue but create long-term customer burden.</w:t>
        <w:br/>
        <w:br/>
        <w:t>As a specialist practice, every ECS engagement is staffed with consultants who do this work every day — not resources assigned to ServiceNow when their primary platform has a lull. [Customer Name] will work with the same team from Sprint 0 to hypercare, with no bench substitutions or offshore handoffs. ECS accountability is direct, named, and continuous.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INT-SP-06 Proposal Narrative Blocks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