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CONFIDENTIAL — INTERNAL USE ONLY. This document contains internal pricing guidance and must not be shared with customers or included in proposals. Reference pricing is indicative and must be validated by the Practice Director before any commitment.</w:t>
      </w:r>
    </w:p>
    <w:p>
      <w:pPr>
        <w:pStyle w:val="Heading1"/>
      </w:pPr>
      <w:r>
        <w:t>1.  1. Standard 18-Week Engagement Model</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 / Sprint</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Weeks</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Deliverables</w:t>
            </w:r>
          </w:p>
        </w:tc>
        <w:tc>
          <w:tcPr>
            <w:tcW w:type="dxa" w:w="33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Typical Resource Mix</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Effort Multiplier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0 — Setup</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 environment, Sprint 1 prep</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(50%) + Lead Consultant (75%)</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1.0x</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 Platform + Incident</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 foundation, Incident Management live</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 (100%) + SA (50%)</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1.0x</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 Catalog + Employee Center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Catalog, Employee Center live</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Consultant (100%) + SA (25%)</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1.0x</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 — Knowledge + Virtual Agent</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Base, Virtual Agent configured</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 (100%) + VA Specialist (50%)</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1.2x</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 Change + CSDM + CMDB + Discovery</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Management, CSDM, CMDB populated</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Consultant (100%) + SA (75%)</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1.5x</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 SGC + HAM + Integrations</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Graph, HAM, key integrations</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 (100%) + Integration Specialist (50%)</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1.3x</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6 — PA + Reporting + UAT</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dashboards, UAT complete</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Lead Consultant (75%) + EM (50%)</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1.0x</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 Post Go-Live</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2-4</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Stabilization, knowledge transfer, warranty support</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 (50%)</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0.75x</w:t>
            </w:r>
          </w:p>
        </w:tc>
      </w:tr>
    </w:tbl>
    <w:p>
      <w:pPr>
        <w:spacing w:after="40"/>
      </w:pPr>
    </w:p>
    <w:p>
      <w:pPr>
        <w:pStyle w:val="Heading1"/>
      </w:pPr>
      <w:r>
        <w:t>2.  2. Complexity Factors</w:t>
      </w:r>
    </w:p>
    <w:p>
      <w:pPr>
        <w:spacing w:after="160" w:before="0"/>
      </w:pPr>
      <w:r>
        <w:rPr>
          <w:rFonts w:ascii="Calibri" w:hAnsi="Calibri"/>
          <w:color w:val="1A1A1A"/>
          <w:sz w:val="22"/>
        </w:rPr>
        <w:t>Apply these multipliers to the base estimate. Multipliers are cumulative — a high-complexity engagement with legacy debt and large user base uses all applicable multipliers.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Factor</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Low (1.0x)</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Medium (1.25x)</w:t>
            </w:r>
          </w:p>
        </w:tc>
        <w:tc>
          <w:tcPr>
            <w:tcW w:type="dxa" w:w="446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High (1.5x+)</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Existing instance customization debt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existing instance or clean instance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&lt; 50 custom scripts, rationalization needed</w:t>
            </w:r>
          </w:p>
        </w:tc>
        <w:tc>
          <w:tcPr>
            <w:tcW w:type="dxa" w:w="44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&gt; 50 custom scripts; significant remediation</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Number of in-scope modules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1-3 modules (standard ITSM)</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4-6 modules</w:t>
            </w:r>
          </w:p>
        </w:tc>
        <w:tc>
          <w:tcPr>
            <w:tcW w:type="dxa" w:w="44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7+ modules or any CMDB/Discovery scope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count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 integrations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3-5 integrations</w:t>
            </w:r>
          </w:p>
        </w:tc>
        <w:tc>
          <w:tcPr>
            <w:tcW w:type="dxa" w:w="44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6+ or complex MID Server integrations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User base size</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&lt; 500 users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500-5,000 users</w:t>
            </w:r>
          </w:p>
        </w:tc>
        <w:tc>
          <w:tcPr>
            <w:tcW w:type="dxa" w:w="44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&gt; 5,000 users or multi-tenant</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Data migration volume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migration or &lt; 10K records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10K-100K records</w:t>
            </w:r>
          </w:p>
        </w:tc>
        <w:tc>
          <w:tcPr>
            <w:tcW w:type="dxa" w:w="446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&gt; 100K records or complex transformation</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organizational readiness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Strong PM, named SMEs, clear governance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PM in place, SMEs partially identified</w:t>
            </w:r>
          </w:p>
        </w:tc>
        <w:tc>
          <w:tcPr>
            <w:tcW w:type="dxa" w:w="446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 PM, no SMEs, no executive engagement</w:t>
            </w:r>
          </w:p>
        </w:tc>
      </w:tr>
    </w:tbl>
    <w:p>
      <w:pPr>
        <w:spacing w:after="40"/>
      </w:pPr>
    </w:p>
    <w:p>
      <w:pPr>
        <w:pStyle w:val="Heading1"/>
      </w:pPr>
      <w:r>
        <w:t>3.  3. Standard Rate Card (Reference Only)</w:t>
      </w:r>
    </w:p>
    <w:p>
      <w:pPr>
        <w:spacing w:after="160" w:before="0"/>
      </w:pPr>
      <w:r>
        <w:rPr>
          <w:rFonts w:ascii="Calibri" w:hAnsi="Calibri"/>
          <w:color w:val="1A1A1A"/>
          <w:sz w:val="22"/>
        </w:rPr>
        <w:t>Rates below are reference only. Actual rates are determined by contract vehicle, customer type (Federal vs. SLED vs. Commercial), and current rate schedule. Confirm with Practice Director.</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Level</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Reference Daily Rate</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[Rate — see Practice Director]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oversight, governance, escalation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Senior</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[Rate — see Practice Director]</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Primary delivery role; all sprint facilitation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Senior</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[Rate — see Practice Director]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Technical design, CMDB, integration architecture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Specialist</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Mid-Senior</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[Rate — see Practice Director]</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REST/SOAP integrations, ETL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 Specialist</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[Rate — see Practice Director]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NLU, conversation design, topic development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Director</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Principal</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[Rate — see Practice Director]</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Escalation support; billed at reduced rate for advisory hours only</w:t>
            </w:r>
          </w:p>
        </w:tc>
      </w:tr>
    </w:tbl>
    <w:p>
      <w:pPr>
        <w:spacing w:after="40"/>
      </w:pPr>
    </w:p>
    <w:p>
      <w:pPr>
        <w:pStyle w:val="Heading1"/>
      </w:pPr>
      <w:r>
        <w:t>4.  4. SOW Structure Guidance</w:t>
      </w:r>
    </w:p>
    <w:tbl>
      <w:tblPr>
        <w:tblW w:type="auto" w:w="0"/>
        <w:jc w:val="left"/>
        <w:tblLook w:firstColumn="1" w:firstRow="1" w:lastColumn="0" w:lastRow="0" w:noHBand="0" w:noVBand="1" w:val="04A0"/>
      </w:tblPr>
      <w:tblGrid>
        <w:gridCol w:w="3120"/>
        <w:gridCol w:w="3120"/>
        <w:gridCol w:w="312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SOW Type</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 to Use</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Risk Profile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Fixed-price, OOTB-defined scope</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18-week engagement, well-defined modules, strong customer readiness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 — scope is bounded by OOTB guardrails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Fixed-price with optional change order pool</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Moderate complexity; some uncertainty in integration or data migration scope</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Medium — pool provides buffer without open-ended exposure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Time and materials with not-to-exceed</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High complexity; significant pre-existing debt; uncertain data volumes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Medium-High — protects ECS from scope surprises while giving customer budget certainty</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Phased: Assessment SOW + Implementation SOW</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has no prior ServiceNow or instance is high-debt</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Low per phase — assessment de-risks the implementation SOW</w:t>
            </w:r>
          </w:p>
        </w:tc>
      </w:tr>
    </w:tbl>
    <w:p>
      <w:pPr>
        <w:spacing w:after="40"/>
      </w:pPr>
    </w:p>
    <w:p>
      <w:pPr>
        <w:pStyle w:val="Heading1"/>
      </w:pPr>
      <w:r>
        <w:t>5.  5. Pricing Review Sign-Off</w:t>
      </w:r>
    </w:p>
    <w:p>
      <w:pPr>
        <w:spacing w:after="160" w:before="0"/>
      </w:pPr>
      <w:r>
        <w:rPr>
          <w:rFonts w:ascii="Calibri" w:hAnsi="Calibri"/>
          <w:color w:val="1A1A1A"/>
          <w:sz w:val="22"/>
        </w:rPr>
        <w:t>All proposals above [threshold — see Practice Director] require Practice Director review before submission. Document the review:</w:t>
      </w:r>
    </w:p>
    <w:tbl>
      <w:tblPr>
        <w:tblW w:type="auto" w:w="0"/>
        <w:jc w:val="left"/>
        <w:tblLook w:firstColumn="1" w:firstRow="1" w:lastColumn="0" w:lastRow="0" w:noHBand="0" w:noVBand="1" w:val="04A0"/>
      </w:tblPr>
      <w:tblGrid>
        <w:gridCol w:w="4680"/>
        <w:gridCol w:w="468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92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Value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w:t>
            </w:r>
          </w:p>
        </w:tc>
        <w:tc>
          <w:tcPr>
            <w:tcW w:type="dxa" w:w="92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Proposed SOW value</w:t>
            </w:r>
          </w:p>
        </w:tc>
        <w:tc>
          <w:tcPr>
            <w:tcW w:type="dxa" w:w="92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Complexity assessment</w:t>
            </w:r>
          </w:p>
        </w:tc>
        <w:tc>
          <w:tcPr>
            <w:tcW w:type="dxa" w:w="92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Pricing reviewed by</w:t>
            </w:r>
          </w:p>
        </w:tc>
        <w:tc>
          <w:tcPr>
            <w:tcW w:type="dxa" w:w="92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date</w:t>
            </w:r>
          </w:p>
        </w:tc>
        <w:tc>
          <w:tcPr>
            <w:tcW w:type="dxa" w:w="92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Approved for submission</w:t>
            </w:r>
          </w:p>
        </w:tc>
        <w:tc>
          <w:tcPr>
            <w:tcW w:type="dxa" w:w="92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 / No / Conditional</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INT-SP-07 Pricing Framework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