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SPRINT 0 SETUP</w:t>
      </w:r>
    </w:p>
    <w:p>
      <w:pPr>
        <w:spacing w:before="0" w:after="40"/>
      </w:pPr>
      <w:r>
        <w:rPr>
          <w:rFonts w:ascii="Calibri" w:hAnsi="Calibri"/>
          <w:b/>
          <w:color w:val="0B1F3A"/>
          <w:sz w:val="56"/>
        </w:rPr>
        <w:t>Decision Rights Setup Template</w:t>
      </w:r>
    </w:p>
    <w:p>
      <w:pPr>
        <w:spacing w:before="120" w:after="400"/>
      </w:pPr>
      <w:r>
        <w:rPr>
          <w:rFonts w:ascii="Calibri" w:hAnsi="Calibri"/>
          <w:i/>
          <w:color w:val="0D9488"/>
          <w:sz w:val="24"/>
        </w:rPr>
        <w:t>Framework for establishing customer decision authority before Sprint 1 begins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Engagement Manager</w:t>
      </w:r>
    </w:p>
    <w:p>
      <w:pPr>
        <w:spacing w:after="40"/>
      </w:pPr>
      <w:r>
        <w:rPr>
          <w:rFonts w:ascii="Calibri" w:hAnsi="Calibri"/>
          <w:b w:val="0"/>
          <w:i w:val="0"/>
          <w:color w:val="475569"/>
          <w:sz w:val="20"/>
        </w:rPr>
        <w:t>Companion to: INT-S0-01 Sprint 0 Facilitator Playbook · CLT-EO-03 Decision Rights Customer Edition</w:t>
      </w:r>
    </w:p>
    <w:p>
      <w:pPr>
        <w:spacing w:after="80"/>
      </w:pPr>
      <w:r>
        <w:rPr>
          <w:rFonts w:ascii="Calibri" w:hAnsi="Calibri"/>
          <w:b w:val="0"/>
          <w:i w:val="0"/>
          <w:color w:val="475569"/>
          <w:sz w:val="20"/>
        </w:rPr>
        <w:t>Document ID: INT-S0-04     ·     Version: 1.0     ·     Status: Released</w:t>
      </w:r>
    </w:p>
    <w:p>
      <w:pPr>
        <w:spacing w:after="280"/>
      </w:pPr>
      <w:r>
        <w:rPr>
          <w:rFonts w:ascii="Calibri" w:hAnsi="Calibri"/>
          <w:b w:val="0"/>
          <w:i/>
          <w:color w:val="475569"/>
          <w:sz w:val="20"/>
        </w:rPr>
        <w:t>Internal Use Only · Confidential</w:t>
      </w:r>
    </w:p>
    <w:p>
      <w:r>
        <w:br w:type="page"/>
      </w:r>
    </w:p>
    <w:p>
      <w:pPr>
        <w:pStyle w:val="Heading1"/>
      </w:pPr>
      <w:r>
        <w:t>Decision Rights Framework</w:t>
      </w:r>
    </w:p>
    <w:p>
      <w:pPr>
        <w:spacing w:after="160" w:before="0"/>
      </w:pPr>
      <w:r>
        <w:rPr>
          <w:rFonts w:ascii="Calibri" w:hAnsi="Calibri"/>
          <w:color w:val="1A1A1A"/>
          <w:sz w:val="22"/>
        </w:rPr>
        <w:t>Decision rights establish who can make which decisions during the engagement. Without explicit decision rights, every configuration decision requires escalation to someone who wasn't in the workshop — creating delays and undermining OOTB adoption discipline.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most common engagement failure mode: every customization request is 'approved' by a process owner who doesn't have the authority to commit the organization. Then an IT Director reviews the sprint demo and says 'who approved all this customization?' Establish these rights in Sprint 0 and protect them throughout the engagement.</w:t>
      </w:r>
    </w:p>
    <w:p>
      <w:r>
        <w:br w:type="page"/>
      </w:r>
    </w:p>
    <w:p>
      <w:pPr>
        <w:pStyle w:val="Heading1"/>
      </w:pPr>
      <w:r>
        <w:t>1.  Decision Rights Matrix</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Type</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Decides</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Escalation Path</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Constraint</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decisions within OOTB — no code, no custom fields</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Consultant + Process Owner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 — no escalation needed</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Must be reversible without platform impact</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item design, variable set, fulfillment workflow</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Owner + ECS SA</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if &gt; 8 variables or custom flow</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Documented in sprint workbook</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rule or SLA exception</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Desk Manager + ITSM Process Owner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if SLA target change</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Logged in Governance Triage Log</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Governed deviation (any configuration requiring custom code or a new table)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Director for items with &gt;4-point effort estimate</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Requires Council meeting minutes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 change (adds functionality not in the SOW)</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 ECS EM</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 if budget/timeline impact</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Requires written change request</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Go/no-go for sprint demo sign-off</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Owner for the discipline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Director if process owner unavailable</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 proxy sign-offs — named person must attend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decision</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(customer) + ECS EM</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 if go-live readiness is contested</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Signed go-live checklist required</w:t>
            </w:r>
          </w:p>
        </w:tc>
      </w:tr>
    </w:tbl>
    <w:p>
      <w:pPr>
        <w:spacing w:after="40"/>
      </w:pPr>
    </w:p>
    <w:p>
      <w:r>
        <w:br w:type="page"/>
      </w:r>
    </w:p>
    <w:p>
      <w:pPr>
        <w:pStyle w:val="Heading1"/>
      </w:pPr>
      <w:r>
        <w:t>2.  Customization Council Charter</w:t>
      </w:r>
    </w:p>
    <w:p>
      <w:pPr>
        <w:spacing w:after="160" w:before="0"/>
      </w:pPr>
      <w:r>
        <w:rPr>
          <w:rFonts w:ascii="Calibri" w:hAnsi="Calibri"/>
          <w:color w:val="1A1A1A"/>
          <w:sz w:val="22"/>
        </w:rPr>
        <w:t>The Customization Council is the governance body that reviews and approves any configuration deviation from the OOTB standard. It meets bi-weekly from Sprint 1 through Sprint 6. All governed exceptions from the sprint Governance Triage Log are reviewed at each Council meeting.</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Chair</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 Director or named delegate — filled in Sprint 0 kickoff]</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Members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[2-4 members: ITSM Process Owner, Service Desk Manager, Security/Compliance representative, IT Architect]</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Attendee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Consultant (voting observer) + Engagement Manager (decision log owner)</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Meeting cadence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60 minutes, from Sprint 1 through Sprint 6</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Quorum</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of [N] members present including the Chair</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record</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maintains the Customization Council decision log. Every decision is logged with: request, OOTB alternative (if any), decision (Approve/Defer/Reject), owner, and target date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Governed deviations only — OOTB configuration decisions do not require Council review</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INT-S0-04 Decision Rights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