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 of This Template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Customization Council Charter establishes the formal governance structure that controls all customization decisions during the ECS OOTB-first engagement. This charter must be signed by the customer sponsor before Sprint 1 begins. It is the single most important governance artifact for protecting the OOTB delivery model.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 this template during Sprint 0 Week 2. Replace all [bracketed] fields with customer-specific information before presenting for signature.</w:t>
      </w:r>
    </w:p>
    <w:p>
      <w:pPr>
        <w:pStyle w:val="Heading1"/>
      </w:pPr>
      <w:r>
        <w:t>2.  1. Charter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Organization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 Name]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[ServiceNow OOTB Implementation]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Charter Effective Date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Charter Expires / Review Date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[18 weeks from effective date]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Project Sponsor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[Name, Title]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Project Manager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</w:tr>
    </w:tbl>
    <w:p>
      <w:pPr>
        <w:spacing w:after="40"/>
      </w:pPr>
    </w:p>
    <w:p>
      <w:pPr>
        <w:pStyle w:val="Heading1"/>
      </w:pPr>
      <w:r>
        <w:t>3.  2. Mission Statement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[Customer Name] Customization Council exists to ensure all ServiceNow configuration and customization decisions align with the OOTB-first delivery model, protect long-term upgrade compatibility, minimize technical debt, and preserve the ROI of the ServiceNow investment.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Council operates under the principle: adopt the platform, not adapt the platform. Every deviation from OOTB must be justified by measurable business value that cannot be achieved any other way.</w:t>
      </w:r>
    </w:p>
    <w:p>
      <w:pPr>
        <w:pStyle w:val="Heading1"/>
      </w:pPr>
      <w:r>
        <w:t>4.  3. Council Membership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Organization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Voting Rights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Quorum Requirement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Sponsor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[Customer]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 — tie-breaker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for Tier 1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[Customer]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for Tier 1 &amp; 2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/ Architect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[Customer]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all tiers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Owner(s)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[Name(s)]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[Customer]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 (per domain)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for domain decisions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Federal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Advisory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Present all sessions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Federal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Advisory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Present all sessions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Practice Lead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[Customer/ECS]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Advisory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>
      <w:pPr>
        <w:spacing w:after="40"/>
      </w:pPr>
    </w:p>
    <w:p>
      <w:pPr>
        <w:pStyle w:val="Heading1"/>
      </w:pPr>
      <w:r>
        <w:t>5.  4. Decision Tiers and Authority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All customization requests are classified by tier before being brought to Council. Tier classification is the responsibility of the ECS Lead Consultant.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Tier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 Authority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Timeline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Documentation Required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Tier 1 — Strategic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model changes, scope additions, deviations affecting the 18-week plan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Sponsor + ECS EM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48-hour SLA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Formal Change Request + Impact Assessment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Tier 2 — Tactical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Cross-domain config decisions, non-OOTB catalog items, custom workflows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IT Director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24-hour SLA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Topic Guide + Council minutes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Tier 3 — Operational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Single-domain config choices within OOTB guardrails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Owner + ECS Lead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Same-sprint decision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notes entry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Tier 0 — OOTB Adoption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Standard OOTB configuration — no deviation requested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escalation needed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retrospective log</w:t>
            </w:r>
          </w:p>
        </w:tc>
      </w:tr>
    </w:tbl>
    <w:p>
      <w:pPr>
        <w:spacing w:after="40"/>
      </w:pPr>
    </w:p>
    <w:p>
      <w:pPr>
        <w:pStyle w:val="Heading1"/>
      </w:pPr>
      <w:r>
        <w:t>6.  5. Meeting Cadence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Meeting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Frequency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Attendees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Trigger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Regular Council Session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Bi-weekly (aligns with sprint demos)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60 min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 council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Scheduled — standing calendar invite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Emergency Escalation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 needed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 min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Sponsor + ECS EM + Lead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Any Tier 1 request or OOTB model threat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Review Retrospective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End of each sprint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 min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team + PM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Post-sprint — review all Tier 2/3 decisions made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Charter Review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 project midpoint (Week 9)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60 min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 council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Scheduled — governance health check</w:t>
            </w:r>
          </w:p>
        </w:tc>
      </w:tr>
    </w:tbl>
    <w:p>
      <w:pPr>
        <w:spacing w:after="40"/>
      </w:pPr>
    </w:p>
    <w:p>
      <w:pPr>
        <w:pStyle w:val="Heading1"/>
      </w:pPr>
      <w:r>
        <w:t>7.  6. Customization Request Process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All customization requests must follow this process before any configuration work begins: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Output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Request submitted via Sprint Planning or as an ad hoc escalation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stakeholder or ECS Lead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Verbal or written request logged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classifies request by tier using the Adopt-vs-Re-engineer Cheatsheet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Tier classification noted in Decision Log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prepares Decision Topic Guide or impact summary (Tier 1/2)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Topic Guide or 1-page summary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Council reviews and votes at next scheduled session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Council Chair (ECS EM)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recorded — Adopt / Defer / Reject / Escalate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logged in Customization Variance Tracker (INT-TBV-03)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EM / PM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Tracker updated same day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If approved: sprint backlog updated; if rejected: documented rationale shared with requestor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/ PM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plan or close-out note</w:t>
            </w:r>
          </w:p>
        </w:tc>
      </w:tr>
    </w:tbl>
    <w:p>
      <w:pPr>
        <w:spacing w:after="40"/>
      </w:pPr>
    </w:p>
    <w:p>
      <w:pPr>
        <w:pStyle w:val="Heading1"/>
      </w:pPr>
      <w:r>
        <w:t>8.  7. OOTB-First Guardrails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following categories are pre-rejected by this charter and require Tier 1 Executive Sponsor escalation to bring to Council: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Prohibited Category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Client-side JavaScript in catalog items or forms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Breaks upgrade compatibility; OOTB scripting controls achieve the same outcomes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tables that replicate core ITSM tables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Creates parallel data models; OOTB extension tables exist for this purpose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Hard-coded user/group references in workflow conditions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Non-portable; use Assignment Rules and groups per OOTB model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Bypassing the Approval engine with custom approval logic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Core platform feature; all approval patterns achievable OOTB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SLA calculations outside the SLA module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Creates reporting fragmentation; OOTB SLA module handles all standard patterns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Direct GlideRecord queries in client scripts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Security and upgrade risk; server-side scripted REST/GlideAjax is the OOTB pattern</w:t>
            </w:r>
          </w:p>
        </w:tc>
      </w:tr>
    </w:tbl>
    <w:p>
      <w:pPr>
        <w:spacing w:after="40"/>
      </w:pPr>
    </w:p>
    <w:p>
      <w:pPr>
        <w:pStyle w:val="Heading1"/>
      </w:pPr>
      <w:r>
        <w:t>9.  8. Escalation and Dispute Resolution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a Council decision is disputed, the following escalation path applies: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1. ECS Lead documents the dispute in writing within 24 hours.</w:t>
        <w:br/>
        <w:t>2. ECS Engagement Manager facilitates a structured review with the Project Sponsor.</w:t>
        <w:br/>
        <w:t>3. If unresolved within 5 business days, escalated to ECS Practice Director and Customer Executive Sponsor.</w:t>
        <w:br/>
        <w:t>4. ECS documents any approved deviation as a project risk in the Risk Register (INT-S0-06).</w:t>
      </w:r>
    </w:p>
    <w:p>
      <w:pPr>
        <w:pStyle w:val="Heading1"/>
      </w:pPr>
      <w:r>
        <w:t>10.  9. Charter Signatures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By signing below, the parties acknowledge they have read and agree to operate under the governance model described in this charter for the duration of the engagement.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Printed Name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Signature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Executive Sponsor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Project Sponsor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INT-S0-05 Customization Council Charter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