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· SPRINT 0 SETUP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Communication Plan Template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Standard communication cadence for the 18-week ECS OOTB engagement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Engagement Manager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INT-S0-01 Sprint 0 Facilitator Playbook · INT-TBV-04 Bi-Weekly Sponsor Sync Agenda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INT-S0-07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Communication Cadence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Communication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Audience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Frequency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Format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Template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Status Report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Director + process owners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Weekly (Friday)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SH-SG-03 Status Report Template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Bi-Weekly Sponsor Sync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Director (sponsor)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Every 2 weeks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 + Lead Consultant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60-min meeting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INT-TBV-04 Sponsor Sync Agenda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Customization Council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Council members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Every 2 weeks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60-min meeting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INT-S0-04 Decision Rights + INT-TBV-05 Pre-Read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Workshop Invitations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Process owners + SMEs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Per sprint schedule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Calendar invitation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INT-FG-xx (relevant facilitator guide)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Demo Invitation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Director + all stakeholders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Per sprint schedule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Calendar invitation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INT-DS-xx (relevant demo script)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Retro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team only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Per sprint schedule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Lead Consultant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30-min internal meeting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INT-FG-xx retro section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Governance Triage Log Update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Council members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After each sprint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Email with attachment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Governance Triage Log (maintained in Decision Log)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Escalation (if needed)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Practice Lead + IT Director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As needed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Email + call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INT-TBV-08 Course-Correction Playbook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Go-Live Announcement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All customer staff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Go-live week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Comms + EM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Email/Intranet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CLT-CO-01 Go-Live Checklist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Hypercare Status Update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Director + Service Desk Manager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Weekly during hypercare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CLT-CO-03 Hypercare Expectations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INT-S0-07 Communication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