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PER-SPRINT FACILITATOR GUIDE</w:t>
      </w:r>
    </w:p>
    <w:p>
      <w:pPr>
        <w:spacing w:before="0" w:after="40"/>
      </w:pPr>
      <w:r>
        <w:rPr>
          <w:rFonts w:ascii="Calibri" w:hAnsi="Calibri"/>
          <w:b/>
          <w:color w:val="0B1F3A"/>
          <w:sz w:val="56"/>
        </w:rPr>
        <w:t>Sprint 5 — Knowledge Management</w:t>
      </w:r>
    </w:p>
    <w:p>
      <w:pPr>
        <w:spacing w:before="0" w:after="40"/>
      </w:pPr>
      <w:r>
        <w:rPr>
          <w:rFonts w:ascii="Calibri" w:hAnsi="Calibri"/>
          <w:b/>
          <w:color w:val="0B1F3A"/>
          <w:sz w:val="56"/>
        </w:rPr>
        <w:t>Facilitator Guide</w:t>
      </w:r>
    </w:p>
    <w:p>
      <w:pPr>
        <w:spacing w:before="120" w:after="400"/>
      </w:pPr>
      <w:r>
        <w:rPr>
          <w:rFonts w:ascii="Calibri" w:hAnsi="Calibri"/>
          <w:i/>
          <w:color w:val="0D9488"/>
          <w:sz w:val="24"/>
        </w:rPr>
        <w:t>Workshop agenda, decision pre-fills, OOTB defense language, common pitfalls, and retro template for Sprint 5 Knowledge Management</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Lead Consultant, Solution Architect, Engagement Manager</w:t>
      </w:r>
    </w:p>
    <w:p>
      <w:pPr>
        <w:spacing w:after="40"/>
      </w:pPr>
      <w:r>
        <w:rPr>
          <w:rFonts w:ascii="Calibri" w:hAnsi="Calibri"/>
          <w:b w:val="0"/>
          <w:i w:val="0"/>
          <w:color w:val="475569"/>
          <w:sz w:val="20"/>
        </w:rPr>
        <w:t>Companion to: Sprint 5 Knowledge Workbook · Knowledge Accelerator Pack (AP-13) · CLT-WP-07 Knowledge Pre-Read</w:t>
      </w:r>
    </w:p>
    <w:p>
      <w:pPr>
        <w:spacing w:after="80"/>
      </w:pPr>
      <w:r>
        <w:rPr>
          <w:rFonts w:ascii="Calibri" w:hAnsi="Calibri"/>
          <w:b w:val="0"/>
          <w:i w:val="0"/>
          <w:color w:val="475569"/>
          <w:sz w:val="20"/>
        </w:rPr>
        <w:t>Document ID: INT-FG-05     ·     Version: 1.0     ·     Status: Released</w:t>
      </w:r>
    </w:p>
    <w:p>
      <w:pPr>
        <w:spacing w:after="280"/>
      </w:pPr>
      <w:r>
        <w:rPr>
          <w:rFonts w:ascii="Calibri" w:hAnsi="Calibri"/>
          <w:b w:val="0"/>
          <w:i/>
          <w:color w:val="475569"/>
          <w:sz w:val="20"/>
        </w:rPr>
        <w:t>Internal Use Only · Confidential</w:t>
      </w:r>
    </w:p>
    <w:p>
      <w:r>
        <w:br w:type="page"/>
      </w:r>
    </w:p>
    <w:p>
      <w:pPr>
        <w:pStyle w:val="Heading1"/>
      </w:pPr>
      <w:r>
        <w:t>How to Use This Guide</w:t>
      </w:r>
    </w:p>
    <w:p>
      <w:pPr>
        <w:spacing w:after="160" w:before="0"/>
      </w:pPr>
      <w:r>
        <w:rPr>
          <w:rFonts w:ascii="Calibri" w:hAnsi="Calibri"/>
          <w:color w:val="1A1A1A"/>
          <w:sz w:val="22"/>
        </w:rPr>
        <w:t>This guide is for the ECS consultant facilitating Sprint 5 Knowledge Management workshops. Knowledge Management is the foundation that makes every AI feature work — Now Assist summarization, Virtual Agent deflection, Predictive Intelligence recommendations, and EC Pro search all depend on a well-structured, current knowledge base. The sprint's job is not to create all the articles — it is to establish the structure, standards, and workflow that make article creation and maintenance sustainable.</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Knowledge Management success is 20% structure and 80% process. The OOTB knowledge base is more than adequate. The discipline is in the governance model — who creates, who reviews, who retires. Without that model, the KB fills with stale articles that degrade AI performance.</w:t>
      </w:r>
    </w:p>
    <w:p>
      <w:r>
        <w:br w:type="page"/>
      </w:r>
    </w:p>
    <w:p>
      <w:pPr>
        <w:pStyle w:val="Heading1"/>
      </w:pPr>
      <w:r>
        <w:t>1.  Sprint Overview</w:t>
      </w:r>
    </w:p>
    <w:tbl>
      <w:tblPr>
        <w:tblW w:type="auto" w:w="0"/>
        <w:jc w:val="left"/>
        <w:tblLook w:firstColumn="1" w:firstRow="1" w:lastColumn="0" w:lastRow="0" w:noHBand="0" w:noVBand="1" w:val="04A0"/>
      </w:tblPr>
      <w:tblGrid>
        <w:gridCol w:w="4680"/>
        <w:gridCol w:w="4680"/>
      </w:tblGrid>
      <w:tr>
        <w:trPr>
          <w:tblHeader/>
        </w:trPr>
        <w:tc>
          <w:tcPr>
            <w:tcW w:type="dxa" w:w="34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Item</w:t>
            </w:r>
          </w:p>
        </w:tc>
        <w:tc>
          <w:tcPr>
            <w:tcW w:type="dxa" w:w="100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number</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3 of 6 (Month 2-3, Weeks 7-8), concurrent with Virtual Agent (INT-FG-06)</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Duration</w:t>
            </w:r>
          </w:p>
        </w:tc>
        <w:tc>
          <w:tcPr>
            <w:tcW w:type="dxa" w:w="10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 weeks (workshops Week 7; configuration Weeks 7-8; demo Week 8)</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goal</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Configured knowledge base structure with ≥ 50 reviewed and published articles, a functioning article workflow (draft → review → published), and the KB integrated into EC Pro search</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participants</w:t>
            </w:r>
          </w:p>
        </w:tc>
        <w:tc>
          <w:tcPr>
            <w:tcW w:type="dxa" w:w="10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Knowledge Manager (decision authority), Service Desk Manager (top incident categories driving article creation), Subject Matter Experts from top 3 teams (Hardware, Software, Network)</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Key artifacts produced</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KB category structure (finalized), Article template (adopted), Workflow configuration (published), 50+ articles migrated/created, EC Pro search integration confirmed</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dependency</w:t>
            </w:r>
          </w:p>
        </w:tc>
        <w:tc>
          <w:tcPr>
            <w:tcW w:type="dxa" w:w="10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3 Virtual Agent topic design requires at least 20 published KB articles to link as deflection targets. Articles must exist before VA topic build begins.</w:t>
            </w:r>
          </w:p>
        </w:tc>
      </w:tr>
    </w:tbl>
    <w:p>
      <w:pPr>
        <w:spacing w:after="40"/>
      </w:pPr>
    </w:p>
    <w:p>
      <w:r>
        <w:br w:type="page"/>
      </w:r>
    </w:p>
    <w:p>
      <w:pPr>
        <w:pStyle w:val="Heading1"/>
      </w:pPr>
      <w:r>
        <w:t>2.  Workshop Agendas</w:t>
      </w:r>
    </w:p>
    <w:p>
      <w:pPr>
        <w:pStyle w:val="Heading2"/>
      </w:pPr>
      <w:r>
        <w:t>Workshop 1 — KB Structure and Article Standards (90 min)</w:t>
      </w:r>
    </w:p>
    <w:tbl>
      <w:tblPr>
        <w:tblW w:type="auto" w:w="0"/>
        <w:jc w:val="left"/>
        <w:tblLook w:firstColumn="1" w:firstRow="1" w:lastColumn="0" w:lastRow="0" w:noHBand="0" w:noVBand="1" w:val="04A0"/>
      </w:tblPr>
      <w:tblGrid>
        <w:gridCol w:w="3120"/>
        <w:gridCol w:w="3120"/>
        <w:gridCol w:w="312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w:t>
            </w:r>
          </w:p>
        </w:tc>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Agenda Item</w:t>
            </w:r>
          </w:p>
        </w:tc>
        <w:tc>
          <w:tcPr>
            <w:tcW w:type="dxa" w:w="83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Facilitation Notes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0:00–0:15</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Current state audit</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Ask the Knowledge Manager: how many articles exist today? Where do they live (SharePoint, Confluence, email, tribal knowledge)? What percentage are current vs. outdated? The goal is a realistic inventory — not a comprehensive review.</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0:15–0:40</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KB category structure</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Present the ECS-recommended KB category structure aligned to the Incident Management category taxonomy from Sprint 1. Same top-level categories: Hardware, Software, Network, Access, HR. Ask: 'What categories would your analysts search for when looking up an article?' The analyst search behavior should drive the structure, not org chart.</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0:40–1:05</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Article template standards</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Present the OOTB article template. ECS standard: Title (search-optimized, question format preferred), Issue/Symptom, Cause, Resolution, Related Articles, Validity Date. Ask: 'Are there knowledge types that need a different template?' Common additions: Procedure (step-by-step), FAQ (question/answer), Policy (reference). OOTB supports multiple article templates — configure one per article type.</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1:05–1:20</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Article workflow</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Walk through the OOTB article workflow: Draft → Review → Published → Retired. Confirm: who has Draft permission? Who has Publish permission? Is a review step required for all articles or only certain categories? Common pushback: 'We want any analyst to be able to publish immediately.' Response: 'Unpublished articles with no review produce KB quality problems within 90 days. We recommend at least a 24-hour review window for the reviewer role, even if review is lightweight.'</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1:20–1:30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Next steps</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Identify the 50 seed articles (top 50 incident categories → 50 resolution articles). Customer SMEs deliver drafts for top 20 before Workshop 2.</w:t>
            </w:r>
          </w:p>
        </w:tc>
      </w:tr>
    </w:tbl>
    <w:p>
      <w:pPr>
        <w:spacing w:after="40"/>
      </w:pPr>
    </w:p>
    <w:p>
      <w:pPr>
        <w:pStyle w:val="Heading2"/>
      </w:pPr>
      <w:r>
        <w:t>Workshop 2 — Article Migration and EC Search Integration (90 min)</w:t>
      </w:r>
    </w:p>
    <w:tbl>
      <w:tblPr>
        <w:tblW w:type="auto" w:w="0"/>
        <w:jc w:val="left"/>
        <w:tblLook w:firstColumn="1" w:firstRow="1" w:lastColumn="0" w:lastRow="0" w:noHBand="0" w:noVBand="1" w:val="04A0"/>
      </w:tblPr>
      <w:tblGrid>
        <w:gridCol w:w="3120"/>
        <w:gridCol w:w="3120"/>
        <w:gridCol w:w="312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w:t>
            </w:r>
          </w:p>
        </w:tc>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Agenda Item</w:t>
            </w:r>
          </w:p>
        </w:tc>
        <w:tc>
          <w:tcPr>
            <w:tcW w:type="dxa" w:w="83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Facilitation Notes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0:00–0:15</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Article inventory review</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Review the 20 customer-submitted drafts. Spot-check 5 for quality against the article template standards. Provide rapid feedback — the goal is not perfection, it is publishable quality.</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0:15–0:40</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Article migration</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Walk through the article import process (OOTB: CSV import or direct copy). For articles coming from SharePoint or Confluence, ECS should pre-configure the import template. Confirm the metadata fields: category, owner, validity date, audience (internal vs. external).</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0:40–1:00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 Pro search integration</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Confirm the KB is integrated into EC Pro search. Test 10 search queries using terms employees would use, not technical article titles. Adjust article titles and keywords if key queries return no results.</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1:00–1:15</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Now Assist readiness check</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Confirm the KB is flagged as an AI search source (required for Now Assist GenAI search augmentation in Sprint 6). Each published article should have the 'Index for search' flag enabled.</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1:15–1:30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Decisions and next steps</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Set the target: 50 published articles by sprint demo. Customer to deliver remaining 30 drafts within 5 days. ECS reviews and publishes.</w:t>
            </w:r>
          </w:p>
        </w:tc>
      </w:tr>
    </w:tbl>
    <w:p>
      <w:pPr>
        <w:spacing w:after="40"/>
      </w:pPr>
    </w:p>
    <w:p>
      <w:r>
        <w:br w:type="page"/>
      </w:r>
    </w:p>
    <w:p>
      <w:pPr>
        <w:pStyle w:val="Heading1"/>
      </w:pPr>
      <w:r>
        <w:t>3.  Decision Pre-Fills — ECS Recommendations</w:t>
      </w:r>
    </w:p>
    <w:p>
      <w:pPr>
        <w:pStyle w:val="Heading2"/>
      </w:pPr>
      <w:r>
        <w:t>Decision 1 — KB Category Structure</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Recommendation</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Rationale</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Common Pushback</w:t>
            </w:r>
          </w:p>
        </w:tc>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Response</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KB categories aligned to Incident Management category taxonomy. Same hierarchy: Hardware, Software, Network, Access, HR Services.</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When an analyst is resolving an incident, they search KB by the same category they used to classify the incident. Misaligned taxonomies force analysts to translate between two mental models.</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'Our existing KB has 20 categories that don't match the Incident taxonomy.'</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'That mismatch is part of why your KB utilization is low. Analysts don't find the article because they search by incident category and the KB uses a different structure. We align them in Sprint 5 — articles are remapped to the new structure during migration.'</w:t>
            </w:r>
          </w:p>
        </w:tc>
      </w:tr>
    </w:tbl>
    <w:p>
      <w:pPr>
        <w:spacing w:after="40"/>
      </w:pPr>
    </w:p>
    <w:p>
      <w:pPr>
        <w:pStyle w:val="Heading2"/>
      </w:pPr>
      <w:r>
        <w:t>Decision 2 — Article Workflow</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Recommendation</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Rationale</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Common Pushback</w:t>
            </w:r>
          </w:p>
        </w:tc>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Response</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article lifecycle: Draft → In Review → Published → Retired. Reviewer role required for publish. 24-hour review SLA.</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Unreviewed articles degrade AI feature quality. Now Assist uses KB articles for GenAI responses — low-quality articles produce low-quality AI answers.</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want all analysts to publish immediately.'</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'Immediate publish by all analysts produces 200 articles in 90 days, half of which are duplicates or outdated. 24-hour review is a quality gate, not a bureaucratic delay. The reviewer role can be the same person as the analyst manager — it does not require a dedicated reviewer.'</w:t>
            </w:r>
          </w:p>
        </w:tc>
      </w:tr>
    </w:tbl>
    <w:p>
      <w:pPr>
        <w:spacing w:after="40"/>
      </w:pPr>
    </w:p>
    <w:p>
      <w:r>
        <w:br w:type="page"/>
      </w:r>
    </w:p>
    <w:p>
      <w:pPr>
        <w:pStyle w:val="Heading1"/>
      </w:pPr>
      <w:r>
        <w:t>4.  Common Pitfalls</w:t>
      </w:r>
    </w:p>
    <w:p>
      <w:pPr>
        <w:pStyle w:val="Heading2"/>
      </w:pPr>
      <w:r>
        <w:t>Pitfall 1 — The Article Volume Paralysis</w:t>
      </w:r>
    </w:p>
    <w:p>
      <w:pPr>
        <w:spacing w:after="160" w:before="0"/>
      </w:pPr>
      <w:r>
        <w:rPr>
          <w:rFonts w:ascii="Calibri" w:hAnsi="Calibri"/>
          <w:color w:val="1A1A1A"/>
          <w:sz w:val="22"/>
        </w:rPr>
        <w:t>The customer fixates on needing 'all' articles before the demo. There are 2,000 articles in the old system and migrating them all takes weeks. Redirect: 'We need 50 quality articles for the demo, not 2,000. The demo proves the structure, workflow, and search work. The remaining articles are a business-as-usual migration after go-live, managed by the Knowledge Manager.'</w:t>
      </w:r>
    </w:p>
    <w:p>
      <w:pPr>
        <w:pStyle w:val="Heading2"/>
      </w:pPr>
      <w:r>
        <w:t>Pitfall 2 — SharePoint KB Resistance</w:t>
      </w:r>
    </w:p>
    <w:p>
      <w:pPr>
        <w:spacing w:after="160" w:before="0"/>
      </w:pPr>
      <w:r>
        <w:rPr>
          <w:rFonts w:ascii="Calibri" w:hAnsi="Calibri"/>
          <w:color w:val="1A1A1A"/>
          <w:sz w:val="22"/>
        </w:rPr>
        <w:t>The customer says their Knowledge Manager refuses to move off SharePoint. The KB already 'works fine.' Redirect: 'SharePoint KB is not integrated with ServiceNow incident resolution, EC Pro search, or Now Assist GenAI. That disconnection is why analysts open a new browser tab to search instead of staying in the incident workflow. Integration with the ITSM workflow is the value — not the knowledge management UI.'</w:t>
      </w:r>
    </w:p>
    <w:p>
      <w:pPr>
        <w:pStyle w:val="Heading2"/>
      </w:pPr>
      <w:r>
        <w:t>Pitfall 3 — AI Readiness Skipped</w:t>
      </w:r>
    </w:p>
    <w:p>
      <w:pPr>
        <w:spacing w:after="160" w:before="0"/>
      </w:pPr>
      <w:r>
        <w:rPr>
          <w:rFonts w:ascii="Calibri" w:hAnsi="Calibri"/>
          <w:color w:val="1A1A1A"/>
          <w:sz w:val="22"/>
        </w:rPr>
        <w:t>The ECS SA configures the KB but doesn't enable the AI search index flags on articles. Sprint 6 Now Assist configuration discovers the KB is not indexed and Sprint 6 is delayed. Prevention: include the AI search flag check in the Workshop 2 migration checklist. Every published article must have 'Index for search' enabled.</w:t>
      </w:r>
    </w:p>
    <w:p>
      <w:pPr>
        <w:pStyle w:val="Heading1"/>
      </w:pPr>
      <w:r>
        <w:t>5.  Sprint Demo Discipline</w:t>
      </w:r>
    </w:p>
    <w:p>
      <w:pPr>
        <w:pStyle w:val="Heading2"/>
      </w:pPr>
      <w:r>
        <w:t>Pre-Demo Checklist</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57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83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Check</w:t>
            </w:r>
          </w:p>
        </w:tc>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Status</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 50 articles published across the configured KB category structure</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 Pro search returning KB articles for top 10 employee search queries</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Article workflow tested: Draft → Review → Published cycle confirmed working</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AI search index enabled on all published articles</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Incident Management Related Knowledge widget showing relevant articles for test incidents</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Lead</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bl>
    <w:p>
      <w:pPr>
        <w:spacing w:after="40"/>
      </w:pPr>
    </w:p>
    <w:p>
      <w:pPr>
        <w:pStyle w:val="Heading1"/>
      </w:pPr>
      <w:r>
        <w:t>6.  Sprint Retro Template</w:t>
      </w:r>
    </w:p>
    <w:tbl>
      <w:tblPr>
        <w:tblW w:type="auto" w:w="0"/>
        <w:jc w:val="left"/>
        <w:tblLook w:firstColumn="1" w:firstRow="1" w:lastColumn="0" w:lastRow="0" w:noHBand="0" w:noVBand="1" w:val="04A0"/>
      </w:tblPr>
      <w:tblGrid>
        <w:gridCol w:w="3120"/>
        <w:gridCol w:w="3120"/>
        <w:gridCol w:w="3120"/>
      </w:tblGrid>
      <w:tr>
        <w:trPr>
          <w:tblHeader/>
        </w:trPr>
        <w:tc>
          <w:tcPr>
            <w:tcW w:type="dxa" w:w="23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Category</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Question</w:t>
            </w:r>
          </w:p>
        </w:tc>
        <w:tc>
          <w:tcPr>
            <w:tcW w:type="dxa" w:w="54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Capture Here</w:t>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worked</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Which article categories came together fastest? Why?</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worked</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How did the customer respond to the 50-article target?</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didn't work</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Which SME teams were slowest to deliver drafts?</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AI readiness</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Are all published articles indexed for AI search?</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4 readiness</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Is the customer ready for Sprint 4 (Change + CSDM + CMDB + Discovery)?</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learning</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would we do differently?</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Sprint 3 Knowledge Management Facilitator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