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PER-SPRINT FACILITATOR GUIDE</w:t>
      </w:r>
    </w:p>
    <w:p>
      <w:pPr>
        <w:spacing w:before="0" w:after="40"/>
      </w:pPr>
      <w:r>
        <w:rPr>
          <w:rFonts w:ascii="Calibri" w:hAnsi="Calibri"/>
          <w:b/>
          <w:color w:val="0B1F3A"/>
          <w:sz w:val="56"/>
        </w:rPr>
        <w:t>Sprint 5 — Virtual Agent</w:t>
      </w:r>
    </w:p>
    <w:p>
      <w:pPr>
        <w:spacing w:before="0" w:after="40"/>
      </w:pPr>
      <w:r>
        <w:rPr>
          <w:rFonts w:ascii="Calibri" w:hAnsi="Calibri"/>
          <w:b/>
          <w:color w:val="0B1F3A"/>
          <w:sz w:val="56"/>
        </w:rPr>
        <w:t>Facilitator Guide</w:t>
      </w:r>
    </w:p>
    <w:p>
      <w:pPr>
        <w:spacing w:before="120" w:after="400"/>
      </w:pPr>
      <w:r>
        <w:rPr>
          <w:rFonts w:ascii="Calibri" w:hAnsi="Calibri"/>
          <w:i/>
          <w:color w:val="0D9488"/>
          <w:sz w:val="24"/>
        </w:rPr>
        <w:t>Workshop agenda, decision pre-fills, OOTB defense language, common pitfalls, and retro template for Sprint 5 Virtual Agent configuration</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 Engagement Manager</w:t>
      </w:r>
    </w:p>
    <w:p>
      <w:pPr>
        <w:spacing w:after="40"/>
      </w:pPr>
      <w:r>
        <w:rPr>
          <w:rFonts w:ascii="Calibri" w:hAnsi="Calibri"/>
          <w:b w:val="0"/>
          <w:i w:val="0"/>
          <w:color w:val="475569"/>
          <w:sz w:val="20"/>
        </w:rPr>
        <w:t>Companion to: Sprint 5 VA Workbook · Virtual Agent Accelerator Pack (AP-16) · CLT-WP-09 Virtual Agent Pre-Read</w:t>
      </w:r>
    </w:p>
    <w:p>
      <w:pPr>
        <w:spacing w:after="80"/>
      </w:pPr>
      <w:r>
        <w:rPr>
          <w:rFonts w:ascii="Calibri" w:hAnsi="Calibri"/>
          <w:b w:val="0"/>
          <w:i w:val="0"/>
          <w:color w:val="475569"/>
          <w:sz w:val="20"/>
        </w:rPr>
        <w:t>Document ID: INT-FG-06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Guide</w:t>
      </w:r>
    </w:p>
    <w:p>
      <w:pPr>
        <w:spacing w:after="160" w:before="0"/>
      </w:pPr>
      <w:r>
        <w:rPr>
          <w:rFonts w:ascii="Calibri" w:hAnsi="Calibri"/>
          <w:color w:val="1A1A1A"/>
          <w:sz w:val="22"/>
        </w:rPr>
        <w:t>This guide covers Sprint 5 Virtual Agent configuration. Virtual Agent is the highest-visibility AI feature in the engagement — it is what executives point to when they say 'AI realization.' The workshop job is to configure 10 OOTB conversation topics that deflect real incident categories, link to the KB articles from Sprint 3 Knowledge, and demonstrate measurable deflection potential in the sprint demo.</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Virtual Agent success is measured in deflection rate, not topic count. 10 well-configured topics covering the top 10 Incident categories outperform 50 shallow topics. Quality and KB integration are the differentiators.</w:t>
      </w:r>
    </w:p>
    <w:p>
      <w:r>
        <w:br w:type="page"/>
      </w:r>
    </w:p>
    <w:p>
      <w:pPr>
        <w:pStyle w:val="Heading1"/>
      </w:pPr>
      <w:r>
        <w:t>1.  Sprint Overview</w:t>
      </w:r>
    </w:p>
    <w:tbl>
      <w:tblPr>
        <w:tblW w:type="auto" w:w="0"/>
        <w:jc w:val="left"/>
        <w:tblLook w:firstColumn="1" w:firstRow="1" w:lastColumn="0" w:lastRow="0" w:noHBand="0" w:noVBand="1" w:val="04A0"/>
      </w:tblPr>
      <w:tblGrid>
        <w:gridCol w:w="4680"/>
        <w:gridCol w:w="4680"/>
      </w:tblGrid>
      <w:tr>
        <w:trPr>
          <w:tblHeader/>
        </w:trPr>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Item</w:t>
            </w:r>
          </w:p>
        </w:tc>
        <w:tc>
          <w:tcPr>
            <w:tcW w:type="dxa" w:w="100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number</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3 of 6 (Month 2-3, Weeks 7-8), concurrent with Knowledge Management (INT-FG-05)</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Duration</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 weeks (workshops Week 7-8; configuration Weeks 7-8; demo Week 8)</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goal</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 published Virtual Agent conversation topics covering the top 10 Incident categories, each linked to at least one KB article, with live NLU training and channel integration confirmed in the dev instance</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participants</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 Desk Manager (deflection target validation), IT Director (demo signoff), EC Pro Portal Admin (channel integration), HR representative (HR-topic ownership if applicable)</w:t>
            </w:r>
          </w:p>
        </w:tc>
      </w:tr>
      <w:tr>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Key artifacts produced</w:t>
            </w:r>
          </w:p>
        </w:tc>
        <w:tc>
          <w:tcPr>
            <w:tcW w:type="dxa" w:w="100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 published VA topics, NLU model trained, Channel integration (EC Pro widget) confirmed, Deflection metric baseline established, Handoff to live agent configured</w:t>
            </w:r>
          </w:p>
        </w:tc>
      </w:tr>
      <w:tr>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Critical dependency</w:t>
            </w:r>
          </w:p>
        </w:tc>
        <w:tc>
          <w:tcPr>
            <w:tcW w:type="dxa" w:w="100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Requires ≥ 20 published KB articles from INT-FG-05 before topic configuration begins — VA topics link to KB articles for resolution content</w:t>
            </w:r>
          </w:p>
        </w:tc>
      </w:tr>
    </w:tbl>
    <w:p>
      <w:pPr>
        <w:spacing w:after="40"/>
      </w:pPr>
    </w:p>
    <w:p>
      <w:r>
        <w:br w:type="page"/>
      </w:r>
    </w:p>
    <w:p>
      <w:pPr>
        <w:pStyle w:val="Heading1"/>
      </w:pPr>
      <w:r>
        <w:t>2.  Workshop Agendas</w:t>
      </w:r>
    </w:p>
    <w:p>
      <w:pPr>
        <w:pStyle w:val="Heading2"/>
      </w:pPr>
      <w:r>
        <w:t>Workshop 1 — Topic Selection and Conversation Design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0:00–0:15</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Deflection opportunity analysis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Pull the top 10 Incident categories by volume from Sprint 1 (confirmed in the Incident Workbook). These are the 10 VA topics. The customer may want to add topics not in the top 10 — they go in the backlog, not Sprint 3.</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0:15–0:45</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topic walkthrough</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the OOTB conversation topic library. For each of the top 10 incident categories, identify the closest OOTB topic template. Show the customer that OOTB topics already handle Password Reset, Software Access, Hardware Request — these are common high-volume topics. Configure OOTB first; custom topics only for categories with no OOTB equivalent.</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0:45–1:10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Conversation flow design for top 3 topics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Detailed walkthrough of the conversation flow for the 3 highest-volume topics. For each: What is the opening trigger phrase (NLU intent)? What disambiguation questions does the VA ask? What KB article does it surface? What is the escalation path if the VA cannot resolve?</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1:10–1:25</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Handoff design</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Confirm the live-agent handoff configuration: which agent group receives VA escalations? What context is passed to the live agent (incident pre-filled, user identified, VA conversation summary)?</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1:25–1:30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Next steps</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to configure the 10 topics in the dev instance. Customer to provide example phrases (utterances) for NLU training from real employee request language.</w:t>
            </w:r>
          </w:p>
        </w:tc>
      </w:tr>
    </w:tbl>
    <w:p>
      <w:pPr>
        <w:spacing w:after="40"/>
      </w:pPr>
    </w:p>
    <w:p>
      <w:pPr>
        <w:pStyle w:val="Heading2"/>
      </w:pPr>
      <w:r>
        <w:t>Workshop 2 — NLU Training and Channel Integration (90 min)</w:t>
      </w:r>
    </w:p>
    <w:tbl>
      <w:tblPr>
        <w:tblW w:type="auto" w:w="0"/>
        <w:jc w:val="left"/>
        <w:tblLook w:firstColumn="1" w:firstRow="1" w:lastColumn="0" w:lastRow="0" w:noHBand="0" w:noVBand="1" w:val="04A0"/>
      </w:tblPr>
      <w:tblGrid>
        <w:gridCol w:w="3120"/>
        <w:gridCol w:w="3120"/>
        <w:gridCol w:w="312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Time</w:t>
            </w:r>
          </w:p>
        </w:tc>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Agenda Item</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Facilitation Notes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0:00–0:20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NLU training review</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Review the utterances submitted by the customer. Add ECS-supplied utterances (minimum 15 per topic for reliable NLU performance). Walk through NLU model training in the dev instance.</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0:20–0:50</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Live topic testing</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Test each of the 10 topics interactively. For each: trigger the topic with a real user phrase, walk through the conversation, confirm KB article is surfaced, confirm escalation path works. Capture any topic gaps or awkward conversation flows.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0:50–1:10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Channel integration</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Configure the VA widget in EC Pro. Confirm the widget appears on the EC Pro homepage and topic pages. Test the full end-to-end: EC Pro widget → VA conversation → KB article → or → live agent handoff.</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1:10–1:25</w:t>
            </w:r>
          </w:p>
        </w:tc>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Deflection metric baseline</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Walk through the VA analytics dashboard. Show how deflection rate is calculated. Set the target: ≥ 30% deflection within 90 days of go-live for the configured topic categories.</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1:25–1:30</w:t>
            </w:r>
          </w:p>
        </w:tc>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demo prep</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Confirm demo script (based on INT-FG-06 demo notes below). Confirm demo audience and date.</w:t>
            </w:r>
          </w:p>
        </w:tc>
      </w:tr>
    </w:tbl>
    <w:p>
      <w:pPr>
        <w:spacing w:after="40"/>
      </w:pPr>
    </w:p>
    <w:p>
      <w:r>
        <w:br w:type="page"/>
      </w:r>
    </w:p>
    <w:p>
      <w:pPr>
        <w:pStyle w:val="Heading1"/>
      </w:pPr>
      <w:r>
        <w:t>3.  Decision Pre-Fills — ECS Recommendations</w:t>
      </w:r>
    </w:p>
    <w:p>
      <w:pPr>
        <w:pStyle w:val="Heading2"/>
      </w:pPr>
      <w:r>
        <w:t>Decision 1 — Topic Scope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Recommendation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Rationale</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Common Pushback</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ECS Response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 OOTB-based topics at MVP. No custom NLU models. No custom conversation flows using Script Includes.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 well-trained topics outperform 50 shallow topics. OOTB conversation topics are pre-tested and upgrade-safe. Custom Script Include flows in VA are the most common upgrade-breaking change we encounter.</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to cover 30 topics in Sprint 3.'</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'30 topics with thin NLU training produces 30 topics that each fail 60% of the time. 10 topics with 20+ utterances each and KB links produce 10 topics that succeed 80%+ of the time. We expand in Phase 2 once the baseline is calibrated.'</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channel: EC Pro Virtual Agent widget. No Teams or Slack integration at MVP.</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Each channel requires separate NLU tuning and testing. EC Pro integration is built into the platform — no additional licensing or development required.</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want the VA in Microsoft Teams.'</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'Teams integration is supported by OOTB Spoke and is a Sprint 6 or Phase 2 scope item. We configure the EC Pro widget first, validate the NLU and deflection rate, then expand channels once the baseline is proven.'</w:t>
            </w:r>
          </w:p>
        </w:tc>
      </w:tr>
    </w:tbl>
    <w:p>
      <w:pPr>
        <w:spacing w:after="40"/>
      </w:pPr>
    </w:p>
    <w:p>
      <w:r>
        <w:br w:type="page"/>
      </w:r>
    </w:p>
    <w:p>
      <w:pPr>
        <w:pStyle w:val="Heading1"/>
      </w:pPr>
      <w:r>
        <w:t>4.  Common Pitfalls</w:t>
      </w:r>
    </w:p>
    <w:p>
      <w:pPr>
        <w:pStyle w:val="Heading2"/>
      </w:pPr>
      <w:r>
        <w:t>Pitfall 1 — The 'It Doesn't Understand Me' Demo Failure</w:t>
      </w:r>
    </w:p>
    <w:p>
      <w:pPr>
        <w:spacing w:after="160" w:before="0"/>
      </w:pPr>
      <w:r>
        <w:rPr>
          <w:rFonts w:ascii="Calibri" w:hAnsi="Calibri"/>
          <w:color w:val="1A1A1A"/>
          <w:sz w:val="22"/>
        </w:rPr>
        <w:t>During the sprint demo, an executive types a request and the VA responds with an unrelated topic or escalates immediately. This is almost always a NLU training failure — not enough utterances, or utterances that don't match how real employees phrase requests. Prevention: test each topic with at least 10 real phrases from actual employees before the demo. Ask the Service Desk team for the exact wording from recent incidents in each category.</w:t>
      </w:r>
    </w:p>
    <w:p>
      <w:pPr>
        <w:pStyle w:val="Heading2"/>
      </w:pPr>
      <w:r>
        <w:t>Pitfall 2 — KB Disconnect</w:t>
      </w:r>
    </w:p>
    <w:p>
      <w:pPr>
        <w:spacing w:after="160" w:before="0"/>
      </w:pPr>
      <w:r>
        <w:rPr>
          <w:rFonts w:ascii="Calibri" w:hAnsi="Calibri"/>
          <w:color w:val="1A1A1A"/>
          <w:sz w:val="22"/>
        </w:rPr>
        <w:t>The VA topic is configured but the KB article link isn't working because the article isn't published yet (waiting on INT-FG-05). The VA topic either shows no resolution content or links to a draft article. Prevention: INT-FG-05 and INT-FG-06 run concurrently — the dependency is 20 published KB articles before VA topic configuration begins. Track this dependency explicitly.</w:t>
      </w:r>
    </w:p>
    <w:p>
      <w:pPr>
        <w:pStyle w:val="Heading2"/>
      </w:pPr>
      <w:r>
        <w:t>Pitfall 3 — The Custom Conversation Flow Request</w:t>
      </w:r>
    </w:p>
    <w:p>
      <w:pPr>
        <w:spacing w:after="160" w:before="0"/>
      </w:pPr>
      <w:r>
        <w:rPr>
          <w:rFonts w:ascii="Calibri" w:hAnsi="Calibri"/>
          <w:color w:val="1A1A1A"/>
          <w:sz w:val="22"/>
        </w:rPr>
        <w:t>A stakeholder says: 'The OOTB password reset topic doesn't ask the right questions for our environment — we need to add a custom step.' Redirect: 'The OOTB Password Reset topic has a custom properties panel that allows you to configure the authentication steps, connected system, and reset confirmation message without custom code. Let me show you what that covers before we scope custom development.'</w:t>
      </w:r>
    </w:p>
    <w:p>
      <w:pPr>
        <w:pStyle w:val="Heading2"/>
      </w:pPr>
      <w:r>
        <w:t>Pitfall 4 — Channel Scope Creep</w:t>
      </w:r>
    </w:p>
    <w:p>
      <w:pPr>
        <w:spacing w:after="160" w:before="0"/>
      </w:pPr>
      <w:r>
        <w:rPr>
          <w:rFonts w:ascii="Calibri" w:hAnsi="Calibri"/>
          <w:color w:val="1A1A1A"/>
          <w:sz w:val="22"/>
        </w:rPr>
        <w:t>The customer's IT team asks about Teams, Slack, and email integration during the VA workshop. Redirect: 'Channel integrations are Phase 2 scope — each channel requires separate NLU testing and governance. EC Pro widget is the primary channel for Sprint 3. We expand channels once deflection rate data from EC Pro shows what is working.'</w:t>
      </w:r>
    </w:p>
    <w:p>
      <w:pPr>
        <w:pStyle w:val="Heading1"/>
      </w:pPr>
      <w:r>
        <w:t>5.  Sprint Demo Discipline</w:t>
      </w:r>
    </w:p>
    <w:p>
      <w:pPr>
        <w:pStyle w:val="Heading2"/>
      </w:pPr>
      <w:r>
        <w:t>Pre-Demo Checklist</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83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Check</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Status</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10 VA topics published with NLU training completed (≥ 15 utterances per topic)</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VA widget visible and functional in EC Pro homepage</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Each topic tested with real employee phrases — no dead-end responses</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KB article linked and displaying correctly within top 5 topic conversations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w:t>
            </w:r>
          </w:p>
        </w:tc>
        <w:tc>
          <w:tcPr>
            <w:tcW w:type="dxa" w:w="83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Live agent handoff tested — incident pre-fills and conversation context transferred</w:t>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Lead</w:t>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w:t>
            </w:r>
          </w:p>
        </w:tc>
        <w:tc>
          <w:tcPr>
            <w:tcW w:type="dxa" w:w="83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VA analytics dashboard showing baseline metrics</w:t>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w:t>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t>
            </w:r>
          </w:p>
        </w:tc>
      </w:tr>
    </w:tbl>
    <w:p>
      <w:pPr>
        <w:spacing w:after="40"/>
      </w:pPr>
    </w:p>
    <w:p>
      <w:pPr>
        <w:pStyle w:val="Heading1"/>
      </w:pPr>
      <w:r>
        <w:t>6.  Sprint Retro Template</w:t>
      </w:r>
    </w:p>
    <w:tbl>
      <w:tblPr>
        <w:tblW w:type="auto" w:w="0"/>
        <w:jc w:val="left"/>
        <w:tblLook w:firstColumn="1" w:firstRow="1" w:lastColumn="0" w:lastRow="0" w:noHBand="0" w:noVBand="1" w:val="04A0"/>
      </w:tblPr>
      <w:tblGrid>
        <w:gridCol w:w="3120"/>
        <w:gridCol w:w="3120"/>
        <w:gridCol w:w="3120"/>
      </w:tblGrid>
      <w:tr>
        <w:trPr>
          <w:tblHeader/>
        </w:trPr>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Category</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54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Capture Here</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worked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Which VA topics had the smoothest NLU training? What made them easier?</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worked</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How did the customer respond to the 10-topic MVP scope?</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didn't work</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Which topics had the most NLU gaps? What additional utterances are needed?</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KB integration</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How many topics have working KB article links?</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 readiness</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Is the customer ready for Sprint 4 (Change + CSDM + CMDB + Discovery)?</w:t>
            </w:r>
          </w:p>
        </w:tc>
        <w:tc>
          <w:tcPr>
            <w:tcW w:type="dxa" w:w="54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learning</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would we do differently?</w:t>
            </w:r>
          </w:p>
        </w:tc>
        <w:tc>
          <w:tcPr>
            <w:tcW w:type="dxa" w:w="54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Sprint 3 Virtual Agent Facilitator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