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4 — Change Management</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4 Change Management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4 Change Workbook · CLT-WP-05 Change Pre-Read · INT-AR for Change</w:t>
      </w:r>
    </w:p>
    <w:p>
      <w:pPr>
        <w:spacing w:after="80"/>
      </w:pPr>
      <w:r>
        <w:rPr>
          <w:rFonts w:ascii="Calibri" w:hAnsi="Calibri"/>
          <w:b w:val="0"/>
          <w:i w:val="0"/>
          <w:color w:val="475569"/>
          <w:sz w:val="20"/>
        </w:rPr>
        <w:t>Document ID: INT-FG-07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Change Management is where every customer has strong opinions shaped by ITIL training and audit requirements. The OOTB change workflow in ServiceNow is fully ITIL-aligned — the facilitator's job is to demonstrate that compliance and prove that the OOTB CAB workflow does not require customization to meet audit requirements.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CAB meetings that take 3 hours to review 40 changes are a process problem, not a system problem. The OOTB Change workflow with risk scoring and pre-approved Standard changes reduces CAB meeting time by 60-70%. Demonstrate this before the customer asks for a custom CAB workflow.</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of 6 (Month 3-4, Weeks 9-10)</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Configured Change Management baseline: Standard, Normal, and Emergency change types, CAB workflow, change schedule, and at least 5 change templates covering the most common change categories</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Manager (decision authority), CAB members (2-3 representatives), IT Director or delegate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type configuration, CAB workflow, Change schedule, 5+ change templates, Risk/impact matrix</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dependency</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(INT-FG-09) and Discovery (INT-FG-10) sprint decisions impact change CI relationship requirements — coordinate data needs before Workshop 2</w:t>
            </w:r>
          </w:p>
        </w:tc>
      </w:tr>
    </w:tbl>
    <w:p>
      <w:pPr>
        <w:spacing w:after="40"/>
      </w:pPr>
    </w:p>
    <w:p>
      <w:r>
        <w:br w:type="page"/>
      </w:r>
    </w:p>
    <w:p>
      <w:pPr>
        <w:pStyle w:val="Heading1"/>
      </w:pPr>
      <w:r>
        <w:t>2.  Workshop Agendas</w:t>
      </w:r>
    </w:p>
    <w:p>
      <w:pPr>
        <w:pStyle w:val="Heading2"/>
      </w:pPr>
      <w:r>
        <w:t>Workshop 1 — Change Type Rationalization and Standard Changes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Current state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Ask the Change Manager: how many change types exist today? How many changes per week? What percentage are Emergency? A high Emergency change rate indicates Normal change cycle time is too long — a process design problem, not a system problem.</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change type model</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three OOTB change types: Standard (pre-approved, repeatable, low risk — no CAB), Normal (full CAB review), Emergency (abbreviated review, post-implementation CAB review). Ask: 'Which of your current changes are genuinely repeatable and low-risk?' These are Standard change candidates. Standard changes eliminate CAB bottleneck for routine work.</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change template design</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For each candidate Standard change: define the template (what steps, what verification), confirm the risk/impact is Low, and confirm who has authority to approve pre-approval. Target: 5 Standard change templates covering the most common repeatable changes.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1:05–1:20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CAB scope decision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which changes require CAB review. OOTB guidance: Normal changes with Medium/High risk go to CAB. Low-risk Normal changes can be approved by the Change Manager without full CAB. Document the decision.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1:20–1:30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configures the three change types and the 5 Standard change templates. Customer provides CAB member list and meeting cadence before Workshop 2.</w:t>
            </w:r>
          </w:p>
        </w:tc>
      </w:tr>
    </w:tbl>
    <w:p>
      <w:pPr>
        <w:spacing w:after="40"/>
      </w:pPr>
    </w:p>
    <w:p>
      <w:pPr>
        <w:pStyle w:val="Heading2"/>
      </w:pPr>
      <w:r>
        <w:t>Workshop 2 — CAB Workflow, Risk Matrix, and Change Schedule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CAB configuration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Show the configured CAB workflow in the dev instance. Walk through: Normal change submitted → risk assessment → CAB agenda auto-populated → CAB approval email → approval state change.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Risk and impact matrix</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Present the OOTB 3x3 risk/impact matrix (Low/Medium/High × Low/Medium/High). Walk through how risk is calculated. Confirm with the Change Manager: are there change categories that always carry a specific risk level regardless of impact? Configure risk defaults per change category.</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schedule and blackout windows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Configure the change schedule: maintenance windows (when changes are allowed), blackout windows (when changes are prohibited — month-end, fiscal year-end, major events). Blackout windows are OOTB configuration, not custom code.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1:00–1:15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template validation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each Standard change template with the Change Manager. Submit a test change using each template — confirm the auto-approval triggers and the workflow completes without manual CAB intervention.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Decisions and sprint demo prep</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all change decisions. Set demo scenario: one Standard change (auto-approved) and one Normal change (through full CAB workflow).</w:t>
            </w:r>
          </w:p>
        </w:tc>
      </w:tr>
    </w:tbl>
    <w:p>
      <w:pPr>
        <w:spacing w:after="40"/>
      </w:pPr>
    </w:p>
    <w:p>
      <w:r>
        <w:br w:type="page"/>
      </w:r>
    </w:p>
    <w:p>
      <w:pPr>
        <w:pStyle w:val="Heading1"/>
      </w:pPr>
      <w:r>
        <w:t>3.  Decision Pre-Fills — ECS Recommendations</w:t>
      </w:r>
    </w:p>
    <w:p>
      <w:pPr>
        <w:pStyle w:val="Heading2"/>
      </w:pPr>
      <w:r>
        <w:t>Decision 1 — Change Type Model</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OOTB change types only: Standard, Normal, Emergency. Do not create additional change types (Routine, Expedited, Minor, Major, etc.).</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Each additional change type requires separate workflow, approval, and risk configuration. The 3-type model is ITIL-compliant and covers all change scenarios.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currently have 7 change types.'</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'Your 7 types map to Standard (anything pre-approved and repeatable), Normal (anything requiring CAB), and Emergency (anything bypassing CAB due to urgency). The sub-types within those categories are handled by change templates and risk scoring, not separate change types.'</w:t>
            </w:r>
          </w:p>
        </w:tc>
      </w:tr>
    </w:tbl>
    <w:p>
      <w:pPr>
        <w:spacing w:after="40"/>
      </w:pPr>
    </w:p>
    <w:p>
      <w:pPr>
        <w:pStyle w:val="Heading2"/>
      </w:pPr>
      <w:r>
        <w:t>Decision 2 — Standard Change Criteria</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change = pre-approved, documented, repeatable, low risk, ≤ 2 hours implementation, tested rollback plan. All five criteria must be met.</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changes without documented rollback plans cause Emergency changes when they fail. The rollback plan is the control that justifies pre-approval.</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make most changes Standard to skip CAB.'</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change is a privilege, not a shortcut. A change that fails without a tested rollback becomes an Emergency change — which has the highest organizational cost. We apply the 5 criteria strictly. Changes that meet them skip CAB. Changes that don't go through Normal.'</w:t>
            </w:r>
          </w:p>
        </w:tc>
      </w:tr>
    </w:tbl>
    <w:p>
      <w:pPr>
        <w:spacing w:after="40"/>
      </w:pPr>
    </w:p>
    <w:p>
      <w:r>
        <w:br w:type="page"/>
      </w:r>
    </w:p>
    <w:p>
      <w:pPr>
        <w:pStyle w:val="Heading1"/>
      </w:pPr>
      <w:r>
        <w:t>4.  Common Pitfalls</w:t>
      </w:r>
    </w:p>
    <w:p>
      <w:pPr>
        <w:pStyle w:val="Heading2"/>
      </w:pPr>
      <w:r>
        <w:t>Pitfall 1 — The 'We Can't Change Our CAB Process' Blocker</w:t>
      </w:r>
    </w:p>
    <w:p>
      <w:pPr>
        <w:spacing w:after="160" w:before="0"/>
      </w:pPr>
      <w:r>
        <w:rPr>
          <w:rFonts w:ascii="Calibri" w:hAnsi="Calibri"/>
          <w:color w:val="1A1A1A"/>
          <w:sz w:val="22"/>
        </w:rPr>
        <w:t>The Change Manager says the existing CAB process is mandated by compliance and cannot be modified. This is almost never true — compliance requires evidence of change control, not a specific workflow. Redirect: 'What does your compliance framework require you to document for each change? Let me show you the OOTB Change record and CAB approval evidence it produces. The audit trail from OOTB Change Management satisfies ITIL, ISO 20000, and most government compliance frameworks.'</w:t>
      </w:r>
    </w:p>
    <w:p>
      <w:pPr>
        <w:pStyle w:val="Heading2"/>
      </w:pPr>
      <w:r>
        <w:t>Pitfall 2 — The Emergency Change Abuse Pattern</w:t>
      </w:r>
    </w:p>
    <w:p>
      <w:pPr>
        <w:spacing w:after="160" w:before="0"/>
      </w:pPr>
      <w:r>
        <w:rPr>
          <w:rFonts w:ascii="Calibri" w:hAnsi="Calibri"/>
          <w:color w:val="1A1A1A"/>
          <w:sz w:val="22"/>
        </w:rPr>
        <w:t>The customer's Emergency change volume is &gt;20% of all changes. Every week there are 'emergency' changes that were actually planned days in advance. This is a symptom of a Normal change cycle time problem (too slow) or a culture problem (skipping the process). Redirect: 'We need to understand why Emergency change volume is high before we configure the Emergency workflow. If changes are being declared Emergency to skip CAB, the solution is to reduce Normal change cycle time — not to add more Emergency capacity.'</w:t>
      </w:r>
    </w:p>
    <w:p>
      <w:pPr>
        <w:pStyle w:val="Heading2"/>
      </w:pPr>
      <w:r>
        <w:t>Pitfall 3 — CAB Meeting Design Scope Creep</w:t>
      </w:r>
    </w:p>
    <w:p>
      <w:pPr>
        <w:spacing w:after="160" w:before="0"/>
      </w:pPr>
      <w:r>
        <w:rPr>
          <w:rFonts w:ascii="Calibri" w:hAnsi="Calibri"/>
          <w:color w:val="1A1A1A"/>
          <w:sz w:val="22"/>
        </w:rPr>
        <w:t>The CAB Chair wants to use the Sprint 4 workshop to redesign how CAB meetings are run — agenda format, voting protocol, meeting frequency. This is a process governance decision outside the system configuration scope. Redirect: 'How you run your CAB meeting is your governance decision. What we are configuring is how the system supports it: automatic agenda population, digital approval capture, and post-implementation review tracking. The meeting format is yours to design.'</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Three change types configured: Standard, Normal, Emergency with correct workflows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 Standard change templates configured and pre-approval confirmed</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CAB workflow tested: Normal change submitted → CAB email → approval → state change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Risk/impact matrix configured with correct defaults per change category</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schedule and blackout windows configured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Standard change template decisions went smoothest?</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 did the customer respond to the 3-type model?</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CAB requirements were hardest to map to OOTB?</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Compliance readiness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Are all audit trail requirements met by OOTB Change record?</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readiness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 the customer ready for Sprint 5 (Service Graph + HAM + Integrations)?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INT-FG-07 Sprint 4 — Change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