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PER-SPRINT FACILITATOR GUIDE</w:t>
      </w:r>
    </w:p>
    <w:p>
      <w:pPr>
        <w:spacing w:before="0" w:after="40"/>
      </w:pPr>
      <w:r>
        <w:rPr>
          <w:rFonts w:ascii="Calibri" w:hAnsi="Calibri"/>
          <w:b/>
          <w:color w:val="0B1F3A"/>
          <w:sz w:val="56"/>
        </w:rPr>
        <w:t>Sprint 2 — CMDB</w:t>
      </w:r>
    </w:p>
    <w:p>
      <w:pPr>
        <w:spacing w:before="0" w:after="40"/>
      </w:pPr>
      <w:r>
        <w:rPr>
          <w:rFonts w:ascii="Calibri" w:hAnsi="Calibri"/>
          <w:b/>
          <w:color w:val="0B1F3A"/>
          <w:sz w:val="56"/>
        </w:rPr>
        <w:t>Facilitator Guide</w:t>
      </w:r>
    </w:p>
    <w:p>
      <w:pPr>
        <w:spacing w:before="120" w:after="400"/>
      </w:pPr>
      <w:r>
        <w:rPr>
          <w:rFonts w:ascii="Calibri" w:hAnsi="Calibri"/>
          <w:i/>
          <w:color w:val="0D9488"/>
          <w:sz w:val="24"/>
        </w:rPr>
        <w:t>Workshop agenda, decision pre-fills, OOTB defense language, common pitfalls, and retro template for Sprint 2 CMDB</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 Engagement Manager</w:t>
      </w:r>
    </w:p>
    <w:p>
      <w:pPr>
        <w:spacing w:after="40"/>
      </w:pPr>
      <w:r>
        <w:rPr>
          <w:rFonts w:ascii="Calibri" w:hAnsi="Calibri"/>
          <w:b w:val="0"/>
          <w:i w:val="0"/>
          <w:color w:val="475569"/>
          <w:sz w:val="20"/>
        </w:rPr>
        <w:t>Companion to: Sprint 2 CMDB Workbook · CMDB/CSDM Accelerator Pack · CLT-WP-13 CMDB Pre-Read</w:t>
      </w:r>
    </w:p>
    <w:p>
      <w:pPr>
        <w:spacing w:after="80"/>
      </w:pPr>
      <w:r>
        <w:rPr>
          <w:rFonts w:ascii="Calibri" w:hAnsi="Calibri"/>
          <w:b w:val="0"/>
          <w:i w:val="0"/>
          <w:color w:val="475569"/>
          <w:sz w:val="20"/>
        </w:rPr>
        <w:t>Document ID: INT-FG-09     ·     Version: 1.0     ·     Status: Released</w:t>
      </w:r>
    </w:p>
    <w:p>
      <w:pPr>
        <w:spacing w:after="280"/>
      </w:pPr>
      <w:r>
        <w:rPr>
          <w:rFonts w:ascii="Calibri" w:hAnsi="Calibri"/>
          <w:b w:val="0"/>
          <w:i/>
          <w:color w:val="475569"/>
          <w:sz w:val="20"/>
        </w:rPr>
        <w:t>Internal Use Only · Confidential</w:t>
      </w:r>
    </w:p>
    <w:p>
      <w:r>
        <w:br w:type="page"/>
      </w:r>
    </w:p>
    <w:p>
      <w:pPr>
        <w:pStyle w:val="Heading1"/>
      </w:pPr>
      <w:r>
        <w:t>How to Use This Guide</w:t>
      </w:r>
    </w:p>
    <w:p>
      <w:pPr>
        <w:spacing w:after="160" w:before="0"/>
      </w:pPr>
      <w:r>
        <w:rPr>
          <w:rFonts w:ascii="Calibri" w:hAnsi="Calibri"/>
          <w:color w:val="1A1A1A"/>
          <w:sz w:val="22"/>
        </w:rPr>
        <w:t>CMDB scope is the most common source of sprint overrun in ServiceNow engagements. The instinct is to model everything. The discipline is to model what the top 5 use cases actually need — Incident impact analysis, Change risk assessment, and Discovery reconciliation. Anything beyond those three use cases is Phase 2.</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A CMDB with 1,000 accurately modeled CIs is more valuable than a CMDB with 50,000 partially accurate CIs. Accuracy and governance discipline are the deliverables — not volume.</w:t>
      </w:r>
    </w:p>
    <w:p>
      <w:r>
        <w:br w:type="page"/>
      </w:r>
    </w:p>
    <w:p>
      <w:pPr>
        <w:pStyle w:val="Heading1"/>
      </w:pPr>
      <w:r>
        <w:t>1.  Sprint Overview</w:t>
      </w:r>
    </w:p>
    <w:tbl>
      <w:tblPr>
        <w:tblW w:type="auto" w:w="0"/>
        <w:jc w:val="left"/>
        <w:tblLook w:firstColumn="1" w:firstRow="1" w:lastColumn="0" w:lastRow="0" w:noHBand="0" w:noVBand="1" w:val="04A0"/>
      </w:tblPr>
      <w:tblGrid>
        <w:gridCol w:w="4680"/>
        <w:gridCol w:w="4680"/>
      </w:tblGrid>
      <w:tr>
        <w:trPr>
          <w:tblHeader/>
        </w:trPr>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Item</w:t>
            </w:r>
          </w:p>
        </w:tc>
        <w:tc>
          <w:tcPr>
            <w:tcW w:type="dxa" w:w="100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number</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4 of 6 (Month 3-4, Weeks 9-10), concurrent with CSDM (INT-FG-08) and Discovery (INT-FG-10)</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goal</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CMDB CI class model finalized, CMDB governance baseline configured, and the top 3 CI classes populated via Discovery (INT-FG-10) or manual import for demo</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participants</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 Architect (CI class authority), Discovery SME (network/server team), Change Manager (CI-to-change relationship validation)</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Key artifacts produced</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CI class selection decisions (documented), CMDB governance policy (configured), IRE rules (baseline), Relationship type map, Health dashboard baseline</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dependency</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Requires CSDM service taxonomy from INT-FG-08 — CI classes must align with Technical Services modeled in CSDM. Discovery configuration (INT-FG-10) drives CI population.</w:t>
            </w:r>
          </w:p>
        </w:tc>
      </w:tr>
    </w:tbl>
    <w:p>
      <w:pPr>
        <w:spacing w:after="40"/>
      </w:pPr>
    </w:p>
    <w:p>
      <w:r>
        <w:br w:type="page"/>
      </w:r>
    </w:p>
    <w:p>
      <w:pPr>
        <w:pStyle w:val="Heading1"/>
      </w:pPr>
      <w:r>
        <w:t>2.  Workshop Agendas</w:t>
      </w:r>
    </w:p>
    <w:p>
      <w:pPr>
        <w:pStyle w:val="Heading2"/>
      </w:pPr>
      <w:r>
        <w:t>Workshop 1 — CI Class Selection and Governance Baseline (90 min)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Facilitation Notes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0:00–0:15</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use case alignment</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Anchor the workshop in the three use cases: (1) Incident impact analysis — what is affected when this CI fails? (2) Change risk — what changes to this CI need CAB review? (3) Discovery reconciliation — how do we know our CMDB matches reality? CI classes that don't serve at least one of these use cases are out of scope at MVP.</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0:15–0:50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CI class selection</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Walk through the OOTB CI class hierarchy. For each major category (Server, Network, Application, End User Device, Cloud Resource), ask: 'Do you need to track this class for Incident, Change, or Discovery?' Use the CMDB/CSDM Accelerator Pack CI class selection workbook. Target: 8-12 CI classes at MVP.</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0:50–1:10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governance policy</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Establish the CMDB governance baseline: Who can create/modify CI records? (CMDB Admin role only for production changes.) What is the staleness threshold? (CIs not updated in 90 days by Discovery are flagged for review.) How are duplicate CIs handled? (IRE deduplication rules.)</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1:10–1:25</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IRE reconciliation rules</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Walk through the OOTB Identification and Reconciliation Engine (IRE). Configure baseline reconciliation rules for the top 3 CI classes. IRE prevents Discovery from creating duplicate CI records.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1:25–1:30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Next steps</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configures CI class model. INT-FG-10 Discovery workshop schedules to align with CMDB class decisions.</w:t>
            </w:r>
          </w:p>
        </w:tc>
      </w:tr>
    </w:tbl>
    <w:p>
      <w:pPr>
        <w:spacing w:after="40"/>
      </w:pPr>
    </w:p>
    <w:p>
      <w:pPr>
        <w:pStyle w:val="Heading2"/>
      </w:pPr>
      <w:r>
        <w:t>Workshop 2 — CI Population and Health Dashboard (90 min)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Facilitation Notes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0:00–0:20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CI population review</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Show the CIs populated by Discovery (from INT-FG-10) or manual import. Walk through the CI records for the top 3 classes — confirm attributes are populated correctly.</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0:20–0:40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Relationship mapping</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Walk through CI relationships in the CMDB. Show the CSDM Technical Service linked to its CIs. Show the Incident → CI relationship for a test Incident. Confirm the Impact Analysis view shows the correct service tree.</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0:40–1:00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Health dashboard</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Configure the OOTB CMDB Health dashboard. Show the three key metrics: CI completeness score, stale CI count, and duplicate CI count. Set baseline targets for each.</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1:00–1:15</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Change integration</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Create a test Normal change record linked to a CI. Confirm the change risk score incorporates the CI's service relationships (a CI linked to a critical Business Service increases change risk).</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1:15–1:30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Decisions and demo prep</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CI class decisions and governance baseline. Set demo scenario: Impact Analysis for a test Major Incident on a CI linked to the Email Business Service.</w:t>
            </w:r>
          </w:p>
        </w:tc>
      </w:tr>
    </w:tbl>
    <w:p>
      <w:pPr>
        <w:spacing w:after="40"/>
      </w:pPr>
    </w:p>
    <w:p>
      <w:r>
        <w:br w:type="page"/>
      </w:r>
    </w:p>
    <w:p>
      <w:pPr>
        <w:pStyle w:val="Heading1"/>
      </w:pPr>
      <w:r>
        <w:t>3.  Decision Pre-Fills — ECS Recommendations</w:t>
      </w:r>
    </w:p>
    <w:p>
      <w:pPr>
        <w:pStyle w:val="Heading2"/>
      </w:pPr>
      <w:r>
        <w:t>Decision 1 — CI Class Scope</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Recommendation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Rationale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Common Pushback</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Response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8-12 CI classes at MVP: Server (Physical and Virtual), Network Device (Router, Switch, Firewall), Application, Database, End User Computer, Cloud Instance. No custom CI classes.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 CI classes require custom Discovery patterns, custom IRE rules, and custom reports. Every custom class is a maintenance burden at upgrade time.</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need a CI class for our legacy mainframe.'</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Mainframe CI class exists in the OOTB CI hierarchy. If it is not present in your instance, it may require a plugin activation — not custom development. Let us check the class hierarchy before we scope any custom class creation.'</w:t>
            </w:r>
          </w:p>
        </w:tc>
      </w:tr>
    </w:tbl>
    <w:p>
      <w:pPr>
        <w:spacing w:after="40"/>
      </w:pPr>
    </w:p>
    <w:p>
      <w:pPr>
        <w:pStyle w:val="Heading2"/>
      </w:pPr>
      <w:r>
        <w:t>Decision 2 — CMDB Governance</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Recommendation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Rationale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Common Pushback</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Response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Only Discovery, approved integrations, and CMDB Admin role can create or modify CI records in production. No analyst self-service CI creation.</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quality degrades exponentially when non-admin users create CI records. Within 6 months, a self-service CMDB has hundreds of duplicate and phantom records.</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'Our admins need to be able to create CIs manually for systems Discovery doesn't cover.'</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Admin role is granted to admins — manual CI creation is allowed for authorized users. The restriction is on analyst role users (itil). Admins can always create and maintain CIs; the governance policy prevents uncontrolled sprawl from the general population.'</w:t>
            </w:r>
          </w:p>
        </w:tc>
      </w:tr>
    </w:tbl>
    <w:p>
      <w:pPr>
        <w:spacing w:after="40"/>
      </w:pPr>
    </w:p>
    <w:p>
      <w:r>
        <w:br w:type="page"/>
      </w:r>
    </w:p>
    <w:p>
      <w:pPr>
        <w:pStyle w:val="Heading1"/>
      </w:pPr>
      <w:r>
        <w:t>4.  Common Pitfalls</w:t>
      </w:r>
    </w:p>
    <w:p>
      <w:pPr>
        <w:pStyle w:val="Heading2"/>
      </w:pPr>
      <w:r>
        <w:t>Pitfall 1 — The Full CMDB Build Request</w:t>
      </w:r>
    </w:p>
    <w:p>
      <w:pPr>
        <w:spacing w:after="160" w:before="0"/>
      </w:pPr>
      <w:r>
        <w:rPr>
          <w:rFonts w:ascii="Calibri" w:hAnsi="Calibri"/>
          <w:color w:val="1A1A1A"/>
          <w:sz w:val="22"/>
        </w:rPr>
        <w:t>The customer asks ECS to build 'the complete CMDB' in Sprint 2 — all 15,000 CIs, all classes, all relationships. This is a multi-month project, not a sprint deliverable. Redirect: 'CMDB at MVP = the CI data that makes Incident impact analysis, Change risk, and Discovery reconciliation work for your top 5 services. Everything else is Phase 2 or business-as-usual after go-live. We build the governance model and prove it works on 100 CIs. The remaining 14,900 CIs follow the same model.'</w:t>
      </w:r>
    </w:p>
    <w:p>
      <w:pPr>
        <w:pStyle w:val="Heading2"/>
      </w:pPr>
      <w:r>
        <w:t>Pitfall 2 — Discovery and CMDB Sprint Sequencing</w:t>
      </w:r>
    </w:p>
    <w:p>
      <w:pPr>
        <w:spacing w:after="160" w:before="0"/>
      </w:pPr>
      <w:r>
        <w:rPr>
          <w:rFonts w:ascii="Calibri" w:hAnsi="Calibri"/>
          <w:color w:val="1A1A1A"/>
          <w:sz w:val="22"/>
        </w:rPr>
        <w:t>Discovery configuration (INT-FG-10) is scheduled after CMDB Workshop 2, which means the CMDB has no discovered CIs at the demo. Prevention: coordinate INT-FG-09 and INT-FG-10 so that Discovery Workshop 1 (MID Server and IP scope) happens in parallel with CMDB Workshop 1. Even partial Discovery results give the CMDB demo meaningful CI data.</w:t>
      </w:r>
    </w:p>
    <w:p>
      <w:pPr>
        <w:pStyle w:val="Heading2"/>
      </w:pPr>
      <w:r>
        <w:t>Pitfall 3 — IRE Rules Skipped</w:t>
      </w:r>
    </w:p>
    <w:p>
      <w:pPr>
        <w:spacing w:after="160" w:before="0"/>
      </w:pPr>
      <w:r>
        <w:rPr>
          <w:rFonts w:ascii="Calibri" w:hAnsi="Calibri"/>
          <w:color w:val="1A1A1A"/>
          <w:sz w:val="22"/>
        </w:rPr>
        <w:t>The ECS SA configures CI classes but skips IRE reconciliation rule configuration because it is complex. Go-live produces duplicate CI records within the first 30 days of Discovery. Prevention: IRE rule configuration for the top 3 CI classes is a Sprint 4 deliverable — it is in the pre-demo checklist for this reason.</w:t>
      </w:r>
    </w:p>
    <w:p>
      <w:pPr>
        <w:pStyle w:val="Heading1"/>
      </w:pPr>
      <w:r>
        <w:t>5.  Sprint Demo Discipline</w:t>
      </w:r>
    </w:p>
    <w:p>
      <w:pPr>
        <w:pStyle w:val="Heading2"/>
      </w:pPr>
      <w:r>
        <w:t>Pre-Demo Checklist</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57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Check</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Status</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8-12 CI classes configured with correct attribute sets</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IRE reconciliation rules configured for top 3 CI classes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Top 3 CI classes populated with at least 20 CIs each (via Discovery or manual import)</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CMDB Health dashboard showing completeness, stale, and duplicate metrics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Impact Analysis tested: Major Incident on CI linked to Business Service shows correct affected services</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Lead</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bl>
    <w:p>
      <w:pPr>
        <w:spacing w:after="40"/>
      </w:pPr>
    </w:p>
    <w:p>
      <w:pPr>
        <w:pStyle w:val="Heading1"/>
      </w:pPr>
      <w:r>
        <w:t>6.  Sprint Retro Template</w:t>
      </w:r>
    </w:p>
    <w:tbl>
      <w:tblPr>
        <w:tblW w:type="auto" w:w="0"/>
        <w:jc w:val="left"/>
        <w:tblLook w:firstColumn="1" w:firstRow="1" w:lastColumn="0" w:lastRow="0" w:noHBand="0" w:noVBand="1" w:val="04A0"/>
      </w:tblPr>
      <w:tblGrid>
        <w:gridCol w:w="3120"/>
        <w:gridCol w:w="3120"/>
        <w:gridCol w:w="3120"/>
      </w:tblGrid>
      <w:tr>
        <w:trPr>
          <w:tblHeader/>
        </w:trPr>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Category</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Question</w:t>
            </w:r>
          </w:p>
        </w:tc>
        <w:tc>
          <w:tcPr>
            <w:tcW w:type="dxa" w:w="54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Capture Here</w:t>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worked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Which CI class decisions were straightforward?</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didn't work</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Which CI classes generated the most scope debate?</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Governance</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Is the CMDB Admin role governance policy accepted by the customer?</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5 readiness</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Is Service Graph Connector scope confirmed for Sprint 5?</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learning</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would we do differently?</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INT-FG-09 Facilitator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