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PER-SPRINT FACILITATOR GUIDE</w:t>
      </w:r>
    </w:p>
    <w:p>
      <w:pPr>
        <w:spacing w:before="0" w:after="40"/>
      </w:pPr>
      <w:r>
        <w:rPr>
          <w:rFonts w:ascii="Calibri" w:hAnsi="Calibri"/>
          <w:b/>
          <w:color w:val="0B1F3A"/>
          <w:sz w:val="56"/>
        </w:rPr>
        <w:t>Sprint 2 — Service Graph Connectors</w:t>
      </w:r>
    </w:p>
    <w:p>
      <w:pPr>
        <w:spacing w:before="0" w:after="40"/>
      </w:pPr>
      <w:r>
        <w:rPr>
          <w:rFonts w:ascii="Calibri" w:hAnsi="Calibri"/>
          <w:b/>
          <w:color w:val="0B1F3A"/>
          <w:sz w:val="56"/>
        </w:rPr>
        <w:t>Facilitator Guide</w:t>
      </w:r>
    </w:p>
    <w:p>
      <w:pPr>
        <w:spacing w:before="120" w:after="400"/>
      </w:pPr>
      <w:r>
        <w:rPr>
          <w:rFonts w:ascii="Calibri" w:hAnsi="Calibri"/>
          <w:i/>
          <w:color w:val="0D9488"/>
          <w:sz w:val="24"/>
        </w:rPr>
        <w:t>Workshop agenda, decision pre-fills, OOTB defense language, common pitfalls, and retro template for Sprint 2 Service Graph Connectors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 Engagement Manager</w:t>
      </w:r>
    </w:p>
    <w:p>
      <w:pPr>
        <w:spacing w:after="40"/>
      </w:pPr>
      <w:r>
        <w:rPr>
          <w:rFonts w:ascii="Calibri" w:hAnsi="Calibri"/>
          <w:b w:val="0"/>
          <w:i w:val="0"/>
          <w:color w:val="475569"/>
          <w:sz w:val="20"/>
        </w:rPr>
        <w:t>Companion to: Sprint 2 SGC Workbook · Discovery Accelerator Pack (AP-12) · CLT-WP-15 Service Graph Pre-Read</w:t>
      </w:r>
    </w:p>
    <w:p>
      <w:pPr>
        <w:spacing w:after="80"/>
      </w:pPr>
      <w:r>
        <w:rPr>
          <w:rFonts w:ascii="Calibri" w:hAnsi="Calibri"/>
          <w:b w:val="0"/>
          <w:i w:val="0"/>
          <w:color w:val="475569"/>
          <w:sz w:val="20"/>
        </w:rPr>
        <w:t>Document ID: INT-FG-11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Service Graph Connectors extend CMDB coverage to systems that network Discovery cannot reach: SCCM for managed endpoints, Intune for cloud-managed devices, Active Directory for user accounts. The workshop is primarily a technical configuration exercise — the decisions are about which connectors, what CI attributes to import, and how to handle deduplication against existing Discovery CIs.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Service Graph Connectors are not a replacement for Discovery — they are a supplement. Discovery sees network topology; connectors see managed software and device compliance. Both are required for a complete CMDB picture.</w:t>
      </w:r>
    </w:p>
    <w:p>
      <w:r>
        <w:br w:type="page"/>
      </w:r>
    </w:p>
    <w:p>
      <w:pPr>
        <w:pStyle w:val="Heading1"/>
      </w:pPr>
      <w:r>
        <w:t>1.  Sprint Overview</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10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number</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5 of 6 (Month 4-5, Weeks 11-12), concurrent with HAM (INT-FG-12) and Integrations (INT-FG-13)</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goal</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At least 3 Service Graph Connectors configured and running: SCCM/Intune (or equivalent), Active Directory, and one additional connector relevant to the customer environment. CIs from connectors visible in the CMDB alongside Discovery CIs.</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participants</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Network/Server SME, Active Directory Admin, SCCM/Intune Admin, Security team (API credential approval)</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Key artifacts produced</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 configured SGC connectors, CI import validation, IRE deduplication results, Connector schedule configuration</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dependency</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Requires MID Server from Sprint 4 Discovery (INT-FG-10). Requires CMDB CI classes from INT-FG-09 — connector CI imports map to existing classes.</w:t>
            </w:r>
          </w:p>
        </w:tc>
      </w:tr>
    </w:tbl>
    <w:p>
      <w:pPr>
        <w:spacing w:after="40"/>
      </w:pPr>
    </w:p>
    <w:p>
      <w:r>
        <w:br w:type="page"/>
      </w:r>
    </w:p>
    <w:p>
      <w:pPr>
        <w:pStyle w:val="Heading1"/>
      </w:pPr>
      <w:r>
        <w:t>2.  Workshop Agendas</w:t>
      </w:r>
    </w:p>
    <w:p>
      <w:pPr>
        <w:pStyle w:val="Heading2"/>
      </w:pPr>
      <w:r>
        <w:t>Workshop 1 — Connector Selection and API Credential Setup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Connector inventory</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Walk through the available OOTB Service Graph Connectors. Confirm which are licensed: SCCM, Intune, Azure AD, and ServiceNow platform connectors are most common. Identify the 3 connectors with highest CI coverage impact.</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0:15–0:40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API credential requirements</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For each selected connector, document the API credential requirements. SCCM: service account with ConfigMgr Read access. Intune: Azure App Registration with DeviceManagementManagedDevices.Read.All. Active Directory: read-only service account. Customer IT team must provision credentials before Workshop 2.</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0:40–1:05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attribute mapping</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Walk through the CI attribute mapping for each connector: which source attributes map to which CMDB CI fields? Use the Discovery Accelerator Pack mapping worksheets. Confirm the deduplication key (the attribute IRE uses to match imported CIs against existing Discovery CIs — typically hostname or serial number).</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1:05–1:25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Import schedule design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Design the connector import schedule: SCCM/Intune daily (endpoint data changes frequently), Active Directory twice-daily (user account changes). Confirm the import window does not conflict with Discovery schedules.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1:25–1:30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Next steps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to provision API credentials. ECS to pre-configure connectors.</w:t>
            </w:r>
          </w:p>
        </w:tc>
      </w:tr>
    </w:tbl>
    <w:p>
      <w:pPr>
        <w:spacing w:after="40"/>
      </w:pPr>
    </w:p>
    <w:p>
      <w:pPr>
        <w:pStyle w:val="Heading2"/>
      </w:pPr>
      <w:r>
        <w:t>Workshop 2 — First Import Run and Deduplication Validation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0:00–0:25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First connector import review</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Run the first import for each configured connector. Review results: how many CIs imported? How many new vs. updated vs. duplicate? High duplicate counts indicate IRE deduplication key mismatch — review and adjust.</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0:25–0:50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enrichment validation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Pick 10 CIs that appear in both Discovery results and connector imports. Confirm the CI record is enriched — Discovery provides network attributes (IP, MAC address), SCCM provides software inventory, Intune provides compliance status. All three are on the same CI record.</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0:50–1:10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linkage review</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CIs imported by connectors are linked to Technical Services (from CSDM INT-FG-08). Any CIs without service linkage are orphaned — identify whether they belong to an existing service or require a new service record.</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1:10–1:25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Health dashboard update</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Review the CMDB Health dashboard after connector imports. CI completeness score should improve significantly — connectors add software and compliance attributes that Discovery does not capture.</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1:25–1:30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Demo prep</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demo scenario: show a CI record with attributes from both Discovery (network) and a connector (software inventory). Show the CMDB Health score improvement.</w:t>
            </w:r>
          </w:p>
        </w:tc>
      </w:tr>
    </w:tbl>
    <w:p>
      <w:pPr>
        <w:spacing w:after="40"/>
      </w:pPr>
    </w:p>
    <w:p>
      <w:r>
        <w:br w:type="page"/>
      </w:r>
    </w:p>
    <w:p>
      <w:pPr>
        <w:pStyle w:val="Heading1"/>
      </w:pPr>
      <w:r>
        <w:t>3.  Decision Pre-Fills — ECS Recommendations</w:t>
      </w:r>
    </w:p>
    <w:p>
      <w:pPr>
        <w:pStyle w:val="Heading2"/>
      </w:pPr>
      <w:r>
        <w:t>Decision 1 — Connector Scope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connectors at MVP: SCCM or Intune (endpoints), Active Directory (users/computers), one cloud connector if Azure licensed.</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Three well-configured connectors with complete CI data outperform eight partially configured connectors with missing attributes.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all 12 available connectors.'</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 connectors require 12 separate API credential setups, 12 deduplication rule validations, and 12 import schedule monitors. We configure the 3 connectors covering the most CI volume in Sprint 5. Remaining connectors are Sprint 6 or Phase 2 scope.'</w:t>
            </w:r>
          </w:p>
        </w:tc>
      </w:tr>
    </w:tbl>
    <w:p>
      <w:pPr>
        <w:spacing w:after="40"/>
      </w:pPr>
    </w:p>
    <w:p>
      <w:r>
        <w:br w:type="page"/>
      </w:r>
    </w:p>
    <w:p>
      <w:pPr>
        <w:pStyle w:val="Heading1"/>
      </w:pPr>
      <w:r>
        <w:t>4.  Common Pitfalls</w:t>
      </w:r>
    </w:p>
    <w:p>
      <w:pPr>
        <w:pStyle w:val="Heading2"/>
      </w:pPr>
      <w:r>
        <w:t>Pitfall 1 — API Credential Delay</w:t>
      </w:r>
    </w:p>
    <w:p>
      <w:pPr>
        <w:spacing w:after="160" w:before="0"/>
      </w:pPr>
      <w:r>
        <w:rPr>
          <w:rFonts w:ascii="Calibri" w:hAnsi="Calibri"/>
          <w:color w:val="1A1A1A"/>
          <w:sz w:val="22"/>
        </w:rPr>
        <w:t>Customer IT team has not provisioned API credentials by Workshop 2. Connector import cannot run. Prevention: document the credential requirements in Workshop 1 as formal customer action items with names and deadlines. If credentials aren't ready 48 hours before Workshop 2, the import section of Workshop 2 becomes a demo with pre-populated data and a follow-up date is set.</w:t>
      </w:r>
    </w:p>
    <w:p>
      <w:pPr>
        <w:pStyle w:val="Heading2"/>
      </w:pPr>
      <w:r>
        <w:t>Pitfall 2 — Deduplication Explosion</w:t>
      </w:r>
    </w:p>
    <w:p>
      <w:pPr>
        <w:spacing w:after="160" w:before="0"/>
      </w:pPr>
      <w:r>
        <w:rPr>
          <w:rFonts w:ascii="Calibri" w:hAnsi="Calibri"/>
          <w:color w:val="1A1A1A"/>
          <w:sz w:val="22"/>
        </w:rPr>
        <w:t>First import run creates thousands of duplicate CI records because the IRE deduplication key is not correctly configured. Prevention: validate the deduplication key in the mapping worksheet (Workshop 1) before running any import. Test the import on a small IP segment (10 CIs) before running the full import.</w:t>
      </w:r>
    </w:p>
    <w:p>
      <w:pPr>
        <w:pStyle w:val="Heading1"/>
      </w:pPr>
      <w:r>
        <w:t>5.  Sprint Demo Discipline</w:t>
      </w:r>
    </w:p>
    <w:p>
      <w:pPr>
        <w:pStyle w:val="Heading2"/>
      </w:pPr>
      <w:r>
        <w:t>Pre-Demo Checklist</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connectors configured with API credentials and import schedules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First import run completed — no unresolved duplicate CIs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Sample CI records showing enriched attributes from Discovery + connector</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Health dashboard showing improved completeness after connector imports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bl>
    <w:p>
      <w:pPr>
        <w:spacing w:after="40"/>
      </w:pPr>
    </w:p>
    <w:p>
      <w:pPr>
        <w:pStyle w:val="Heading1"/>
      </w:pPr>
      <w:r>
        <w:t>6.  Sprint Retro Template</w:t>
      </w:r>
    </w:p>
    <w:tbl>
      <w:tblPr>
        <w:tblW w:type="auto" w:w="0"/>
        <w:jc w:val="left"/>
        <w:tblLook w:firstColumn="1" w:firstRow="1" w:lastColumn="0" w:lastRow="0" w:noHBand="0" w:noVBand="1" w:val="04A0"/>
      </w:tblPr>
      <w:tblGrid>
        <w:gridCol w:w="3120"/>
        <w:gridCol w:w="3120"/>
        <w:gridCol w:w="3120"/>
      </w:tblGrid>
      <w:tr>
        <w:trPr>
          <w:tblHeader/>
        </w:trPr>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Category</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Capture Here</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Which connector was easiest to configure?</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didn't work</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Which credential or deduplication issues caused delays?</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quality</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is the CI completeness score after connector imports?</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6 readiness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Are PA dashboards and report scope confirmed for Sprint 6?</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learning</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would we do differently?</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INT-FG-11 Facilitator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