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6 — Hardware Asset Management</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5 HAM configuration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6 HAM Workbook · HAM Foundations Pack (AP-04) · HAM Realization Pack (AP-05) · INT-HT-16 HAM How-To</w:t>
      </w:r>
    </w:p>
    <w:p>
      <w:pPr>
        <w:spacing w:after="80"/>
      </w:pPr>
      <w:r>
        <w:rPr>
          <w:rFonts w:ascii="Calibri" w:hAnsi="Calibri"/>
          <w:b w:val="0"/>
          <w:i w:val="0"/>
          <w:color w:val="475569"/>
          <w:sz w:val="20"/>
        </w:rPr>
        <w:t>Document ID: INT-FG-12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HAM is often the sprint that reveals undocumented assets, shadow IT hardware, and procurement processes that have never been formalized in a system. The workshop must navigate these discoveries diplomatically — the goal is to establish the OOTB asset management baseline, not to audit the customer's past procurement practices.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HAM is most valuable when the asset lifecycle is connected to procurement and CMDB. An asset register that lives only in HAM, disconnected from purchase orders and CI records, is an expensive spreadsheet replacement. Spend the sprint establishing the three connections: Procurement → Asset creation, Asset → CI linkage, Asset retirement → CMDB CI removal.</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of 6 (Month 4-5, Weeks 11-12), concurrent with Service Graph (INT-FG-11) and Integrations (INT-FG-13)</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 Foundations configured: stockrooms, asset classes, asset models, lifecycle state baseline. At least 100 hardware assets imported from the customer's existing asset register and tracked through the OOTB lifecycle workflow.</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participants</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Asset Manager (decision authority), Procurement team representative, IT Operations (stockroom management), Finance (asset valuation if applicable)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Stockroom configuration, Asset class and model catalog (baseline), Lifecycle state workflow, Initial asset import (100+ records), Receive workflow tested</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dependency</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Requires Discovery CI data from Sprint 4 (INT-FG-10) — HAM assets linked to CMDB CIs for full lifecycle-to-CMDB traceability</w:t>
            </w:r>
          </w:p>
        </w:tc>
      </w:tr>
    </w:tbl>
    <w:p>
      <w:pPr>
        <w:spacing w:after="40"/>
      </w:pPr>
    </w:p>
    <w:p>
      <w:r>
        <w:br w:type="page"/>
      </w:r>
    </w:p>
    <w:p>
      <w:pPr>
        <w:pStyle w:val="Heading1"/>
      </w:pPr>
      <w:r>
        <w:t>2.  Workshop Agendas</w:t>
      </w:r>
    </w:p>
    <w:p>
      <w:pPr>
        <w:pStyle w:val="Heading2"/>
      </w:pPr>
      <w:r>
        <w:t>Workshop 1 — Asset Class Model and Stockroom Design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Existing asset register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Ask the Asset Manager: how many hardware assets are tracked today? In what system? What is the data quality like (serial numbers, model names, locations)? This sets realistic expectations for the initial import.</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0:15–0:40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Asset class and model catalog</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HAM Foundations Pack asset class worksheet. Top-level classes: Laptop, Desktop, Server, Network Device, Mobile Device, Peripheral. For each class, identify the top 5-10 models the customer owns. Asset models are the link between the procurement catalog and the asset register.</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Stockroom design</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Stockrooms in ServiceNow represent physical storage locations for undeployed assets. Map the customer's physical stockrooms (IT storerooms, remote office storage) to ServiceNow stockroom records. Confirm who is authorized to receive assets into each stockroom.</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1:05–1:20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Lifecycle state model</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OOTB HAM lifecycle states: On Order → In Stock → Deployed → In Maintenance → Retired. Confirm each state maps to a real business state in the customer's asset management process.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1:20–1:30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to provide asset export (CSV) for initial import. ECS to configure asset classes, models, and stockrooms before Workshop 2.</w:t>
            </w:r>
          </w:p>
        </w:tc>
      </w:tr>
    </w:tbl>
    <w:p>
      <w:pPr>
        <w:spacing w:after="40"/>
      </w:pPr>
    </w:p>
    <w:p>
      <w:pPr>
        <w:pStyle w:val="Heading2"/>
      </w:pPr>
      <w:r>
        <w:t>Workshop 2 — Asset Import, Receive Workflow, and CMDB Linkage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0:00–0:20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Asset import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 through the initial asset import results. Confirm: serial numbers populated, model linked to asset record, location assigned to stockroom. Flag records with data quality issues for follow-up.</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0:20–0:40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Receive workflow test</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Run through the OOTB receive workflow: purchase order created → asset on order state → asset received in stockroom → stock-to-deployed assignment. Confirm each state transition works.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CI linkage</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For the imported assets, link each asset to its corresponding CMDB CI (from Sprint 4 Discovery). Show the asset record with the CI linked — this is the full lifecycle-to-infrastructure traceability view.</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1:00–1:15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IMAC workflow preview</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OOTB IMAC (Install, Move, Add, Change) workflows. Confirm the customer's top 3 IMAC scenarios are covered by OOTB.</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1:15–1:30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Demo prep</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Set demo scenario: receive a new laptop (purchase order → stockroom), assign to an employee (deployed state), link to a CMDB CI. Show the full lifecycle in 5 minutes.</w:t>
            </w:r>
          </w:p>
        </w:tc>
      </w:tr>
    </w:tbl>
    <w:p>
      <w:pPr>
        <w:spacing w:after="40"/>
      </w:pPr>
    </w:p>
    <w:p>
      <w:r>
        <w:br w:type="page"/>
      </w:r>
    </w:p>
    <w:p>
      <w:pPr>
        <w:pStyle w:val="Heading1"/>
      </w:pPr>
      <w:r>
        <w:t>3.  Decision Pre-Fills — ECS Recommendations</w:t>
      </w:r>
    </w:p>
    <w:p>
      <w:pPr>
        <w:pStyle w:val="Heading2"/>
      </w:pPr>
      <w:r>
        <w:t>Decision 1 — Initial Asset Import Scope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Import the active deployed asset population only at MVP. Do not import retired or disposed assets.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Retired assets with no current location inflate the asset count without providing operational value. A clean deployed asset register is more useful than a complete historical record.</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to import our full 10-year asset history.'</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'Historical asset data is a reporting project, not an operational project. We import the currently deployed assets — the ones generating incidents, requiring maintenance, and needing replacement. Historical records can be imported post-go-live as a batch job using the same import template.'</w:t>
            </w:r>
          </w:p>
        </w:tc>
      </w:tr>
    </w:tbl>
    <w:p>
      <w:pPr>
        <w:spacing w:after="40"/>
      </w:pPr>
    </w:p>
    <w:p>
      <w:r>
        <w:br w:type="page"/>
      </w:r>
    </w:p>
    <w:p>
      <w:pPr>
        <w:pStyle w:val="Heading1"/>
      </w:pPr>
      <w:r>
        <w:t>4.  Common Pitfalls</w:t>
      </w:r>
    </w:p>
    <w:p>
      <w:pPr>
        <w:pStyle w:val="Heading2"/>
      </w:pPr>
      <w:r>
        <w:t>Pitfall 1 — No Named Asset Data Owner</w:t>
      </w:r>
    </w:p>
    <w:p>
      <w:pPr>
        <w:spacing w:after="160" w:before="0"/>
      </w:pPr>
      <w:r>
        <w:rPr>
          <w:rFonts w:ascii="Calibri" w:hAnsi="Calibri"/>
          <w:color w:val="1A1A1A"/>
          <w:sz w:val="22"/>
        </w:rPr>
        <w:t>The customer's asset register is in a spreadsheet owned by a person who left the company 18 months ago. The current IT team has no confidence in the data quality. Redirect: 'We import what exists, flag quality issues, and establish the governance process that keeps data quality high going forward. The initial import is the starting point, not the final state. Sprint 5 is about establishing the process — the data improves over the first 90 days of operating it.'</w:t>
      </w:r>
    </w:p>
    <w:p>
      <w:pPr>
        <w:pStyle w:val="Heading2"/>
      </w:pPr>
      <w:r>
        <w:t>Pitfall 2 — Procurement Integration Scope Creep</w:t>
      </w:r>
    </w:p>
    <w:p>
      <w:pPr>
        <w:spacing w:after="160" w:before="0"/>
      </w:pPr>
      <w:r>
        <w:rPr>
          <w:rFonts w:ascii="Calibri" w:hAnsi="Calibri"/>
          <w:color w:val="1A1A1A"/>
          <w:sz w:val="22"/>
        </w:rPr>
        <w:t>The customer's procurement team wants to integrate ServiceNow HAM with their procurement system in Sprint 5. This is an Integration sprint item (INT-FG-13). Redirect: 'Procurement system integration is in scope for Sprint 5 Integrations (running concurrently). We are establishing the HAM data model and lifecycle workflow this week. The integration connects to that model once it is stable.'</w:t>
      </w:r>
    </w:p>
    <w:p>
      <w:pPr>
        <w:pStyle w:val="Heading1"/>
      </w:pPr>
      <w:r>
        <w:t>5.  Sprint Demo Discipline</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Asset classes, models, and stockrooms configured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Initial asset import completed — ≥ 100 assets with correct model and location</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Receive workflow tested end-to-end: PO → stockroom → deployed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 least 20 assets linked to their CMDB CI records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 dashboard showing asset counts by class, state, and location</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1"/>
      </w:pPr>
      <w:r>
        <w:t>6.  Sprint Retro Template</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asset class definitions were most straightforward?</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didn't work</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data quality issues were found in the initial import?</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linkage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percentage of imported assets are linked to CMDB CIs?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6 readiness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Are PA dashboard scope and report requirements confirmed?</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learning</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would we do differently?</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INT-FG-12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