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p>
    <w:p>
      <w:pPr>
        <w:spacing w:after="120"/>
      </w:pPr>
    </w:p>
    <w:p>
      <w:pPr>
        <w:spacing w:before="800" w:after="160"/>
      </w:pPr>
      <w:r>
        <w:rPr>
          <w:rFonts w:ascii="Calibri" w:hAnsi="Calibri"/>
          <w:b/>
          <w:color w:val="14B8A6"/>
          <w:spacing w:val="60"/>
          <w:sz w:val="18"/>
        </w:rPr>
        <w:t>INTERNAL · PER-SPRINT FACILITATOR GUIDE</w:t>
      </w:r>
    </w:p>
    <w:p>
      <w:pPr>
        <w:spacing w:before="0" w:after="40"/>
      </w:pPr>
      <w:r>
        <w:rPr>
          <w:rFonts w:ascii="Calibri" w:hAnsi="Calibri"/>
          <w:b/>
          <w:color w:val="0B1F3A"/>
          <w:sz w:val="56"/>
        </w:rPr>
        <w:t>Sprint 5 — Performance Analytics</w:t>
      </w:r>
    </w:p>
    <w:p>
      <w:pPr>
        <w:spacing w:before="0" w:after="40"/>
      </w:pPr>
      <w:r>
        <w:rPr>
          <w:rFonts w:ascii="Calibri" w:hAnsi="Calibri"/>
          <w:b/>
          <w:color w:val="0B1F3A"/>
          <w:sz w:val="56"/>
        </w:rPr>
        <w:t>Facilitator Guide</w:t>
      </w:r>
    </w:p>
    <w:p>
      <w:pPr>
        <w:spacing w:before="120" w:after="400"/>
      </w:pPr>
      <w:r>
        <w:rPr>
          <w:rFonts w:ascii="Calibri" w:hAnsi="Calibri"/>
          <w:i/>
          <w:color w:val="0D9488"/>
          <w:sz w:val="24"/>
        </w:rPr>
        <w:t>Workshop agenda, decision pre-fills, OOTB defense language, common pitfalls, and retro template for Sprint 5 Performance Analytics</w:t>
      </w:r>
    </w:p>
    <w:p>
      <w:pPr>
        <w:pBdr>
          <w:bottom w:val="single" w:sz="12" w:space="1" w:color="14B8A6"/>
        </w:pBdr>
        <w:spacing w:before="0" w:after="160"/>
      </w:pPr>
    </w:p>
    <w:p>
      <w:pPr>
        <w:spacing w:after="40"/>
      </w:pPr>
      <w:r>
        <w:rPr>
          <w:rFonts w:ascii="Calibri" w:hAnsi="Calibri"/>
          <w:b/>
          <w:i w:val="0"/>
          <w:color w:val="0B1F3A"/>
          <w:sz w:val="22"/>
        </w:rPr>
        <w:t>ECS Federal · ServiceNow Practice</w:t>
      </w:r>
    </w:p>
    <w:p>
      <w:pPr>
        <w:spacing w:after="40"/>
      </w:pPr>
      <w:r>
        <w:rPr>
          <w:rFonts w:ascii="Calibri" w:hAnsi="Calibri"/>
          <w:b w:val="0"/>
          <w:i w:val="0"/>
          <w:color w:val="475569"/>
          <w:sz w:val="20"/>
        </w:rPr>
        <w:t>Audience: ECS Lead Consultant, Solution Architect, Engagement Manager</w:t>
      </w:r>
    </w:p>
    <w:p>
      <w:pPr>
        <w:spacing w:after="40"/>
      </w:pPr>
      <w:r>
        <w:rPr>
          <w:rFonts w:ascii="Calibri" w:hAnsi="Calibri"/>
          <w:b w:val="0"/>
          <w:i w:val="0"/>
          <w:color w:val="475569"/>
          <w:sz w:val="20"/>
        </w:rPr>
        <w:t>Companion to: Sprint 5 PA Workbook · Performance Analytics Accelerator Pack (AP-19) · CLT-WP for PA</w:t>
      </w:r>
    </w:p>
    <w:p>
      <w:pPr>
        <w:spacing w:after="80"/>
      </w:pPr>
      <w:r>
        <w:rPr>
          <w:rFonts w:ascii="Calibri" w:hAnsi="Calibri"/>
          <w:b w:val="0"/>
          <w:i w:val="0"/>
          <w:color w:val="475569"/>
          <w:sz w:val="20"/>
        </w:rPr>
        <w:t>Document ID: INT-FG-14     ·     Version: 1.0     ·     Status: Released</w:t>
      </w:r>
    </w:p>
    <w:p>
      <w:pPr>
        <w:spacing w:after="280"/>
      </w:pPr>
      <w:r>
        <w:rPr>
          <w:rFonts w:ascii="Calibri" w:hAnsi="Calibri"/>
          <w:b w:val="0"/>
          <w:i/>
          <w:color w:val="475569"/>
          <w:sz w:val="20"/>
        </w:rPr>
        <w:t>Internal Use Only · Confidential</w:t>
      </w:r>
    </w:p>
    <w:p>
      <w:r>
        <w:br w:type="page"/>
      </w:r>
    </w:p>
    <w:p>
      <w:pPr>
        <w:pStyle w:val="Heading1"/>
      </w:pPr>
      <w:r>
        <w:t>How to Use This Guide</w:t>
      </w:r>
    </w:p>
    <w:p>
      <w:pPr>
        <w:spacing w:after="160" w:before="0"/>
      </w:pPr>
      <w:r>
        <w:rPr>
          <w:rFonts w:ascii="Calibri" w:hAnsi="Calibri"/>
          <w:color w:val="1A1A1A"/>
          <w:sz w:val="22"/>
        </w:rPr>
        <w:t>Performance Analytics is where the value of the entire engagement becomes visible. The IT Director sees their operations through the lens of data — MTTR, first contact resolution, change success rate. The workshop must translate business goals into KPI targets, and KPI targets into configured PA indicators. Avoid the trap of configuring every available indicator — configure the 15-20 indicators that the IT Director will actually review.</w:t>
      </w:r>
    </w:p>
    <w:p>
      <w:pPr>
        <w:pBdr>
          <w:top w:val="single" w:sz="4" w:space="4" w:color="2E74B5"/>
          <w:left w:val="single" w:sz="4" w:space="4" w:color="2E74B5"/>
          <w:bottom w:val="single" w:sz="4" w:space="4" w:color="2E74B5"/>
          <w:right w:val="single" w:sz="4" w:space="4" w:color="2E74B5"/>
        </w:pBdr>
        <w:shd w:val="clear" w:color="auto" w:fill="EAF1F8"/>
        <w:spacing w:before="120" w:after="160"/>
      </w:pPr>
      <w:r>
        <w:rPr>
          <w:rFonts w:ascii="Calibri" w:hAnsi="Calibri"/>
          <w:b/>
          <w:color w:val="0B1F3A"/>
          <w:sz w:val="20"/>
        </w:rPr>
        <w:t>PA dashboards only reflect reality if the underlying data is clean. Before Sprint 6 PA workshops, verify: Incident categories are being used consistently (Sprint 1), catalog requests are closing correctly (Sprint 2), changes are recording post-implementation reviews (Sprint 4). If data quality is poor, PA shows it — which is useful, but must be framed as a quality improvement signal, not a system failure.</w:t>
      </w:r>
    </w:p>
    <w:p>
      <w:r>
        <w:br w:type="page"/>
      </w:r>
    </w:p>
    <w:p>
      <w:pPr>
        <w:pStyle w:val="Heading1"/>
      </w:pPr>
      <w:r>
        <w:t>1.  Sprint Overview</w:t>
      </w:r>
    </w:p>
    <w:tbl>
      <w:tblPr>
        <w:tblW w:type="auto" w:w="0"/>
        <w:jc w:val="left"/>
        <w:tblLook w:firstColumn="1" w:firstRow="1" w:lastColumn="0" w:lastRow="0" w:noHBand="0" w:noVBand="1" w:val="04A0"/>
      </w:tblPr>
      <w:tblGrid>
        <w:gridCol w:w="4680"/>
        <w:gridCol w:w="4680"/>
      </w:tblGrid>
      <w:tr>
        <w:trPr>
          <w:tblHeader/>
        </w:trPr>
        <w:tc>
          <w:tcPr>
            <w:tcW w:type="dxa" w:w="3456"/>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Item</w:t>
            </w:r>
          </w:p>
        </w:tc>
        <w:tc>
          <w:tcPr>
            <w:tcW w:type="dxa" w:w="1008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Detail</w:t>
            </w:r>
          </w:p>
        </w:tc>
      </w:tr>
      <w:tr>
        <w:tc>
          <w:tcPr>
            <w:tcW w:type="dxa" w:w="345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Sprint number</w:t>
            </w:r>
          </w:p>
        </w:tc>
        <w:tc>
          <w:tcPr>
            <w:tcW w:type="dxa" w:w="100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Sprint 6 of 6 (Month 5-6, Weeks 13-14), concurrent with Reporting &amp; Stabilization (INT-FG-15)</w:t>
            </w:r>
          </w:p>
        </w:tc>
      </w:tr>
      <w:tr>
        <w:tc>
          <w:tcPr>
            <w:tcW w:type="dxa" w:w="345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Sprint goal</w:t>
            </w:r>
          </w:p>
        </w:tc>
        <w:tc>
          <w:tcPr>
            <w:tcW w:type="dxa" w:w="100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OOTB Performance Analytics dashboards configured for at least 3 process areas (Incident, Change, and one additional), with agreed KPI targets and scorecard baseline established</w:t>
            </w:r>
          </w:p>
        </w:tc>
      </w:tr>
      <w:tr>
        <w:tc>
          <w:tcPr>
            <w:tcW w:type="dxa" w:w="345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Customer participants</w:t>
            </w:r>
          </w:p>
        </w:tc>
        <w:tc>
          <w:tcPr>
            <w:tcW w:type="dxa" w:w="100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IT Director (KPI ownership), Service Desk Manager (Incident KPIs), Change Manager (Change KPIs), IT Operations lead (CMDB/Asset KPIs)</w:t>
            </w:r>
          </w:p>
        </w:tc>
      </w:tr>
      <w:tr>
        <w:tc>
          <w:tcPr>
            <w:tcW w:type="dxa" w:w="345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Key artifacts produced</w:t>
            </w:r>
          </w:p>
        </w:tc>
        <w:tc>
          <w:tcPr>
            <w:tcW w:type="dxa" w:w="100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PA dashboard configuration (3 process areas), KPI target decisions (documented), Scorecard baseline, PA indicator library (reviewed), Data collection job schedule</w:t>
            </w:r>
          </w:p>
        </w:tc>
      </w:tr>
      <w:tr>
        <w:tc>
          <w:tcPr>
            <w:tcW w:type="dxa" w:w="345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Sprint dependency</w:t>
            </w:r>
          </w:p>
        </w:tc>
        <w:tc>
          <w:tcPr>
            <w:tcW w:type="dxa" w:w="100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PA requires clean data from all prior sprints to produce meaningful metrics. Sprint 6 PA should not begin until Sprints 1-5 have been in operation for at least 2 weeks to accumulate baseline data.</w:t>
            </w:r>
          </w:p>
        </w:tc>
      </w:tr>
    </w:tbl>
    <w:p>
      <w:pPr>
        <w:spacing w:after="40"/>
      </w:pPr>
    </w:p>
    <w:p>
      <w:r>
        <w:br w:type="page"/>
      </w:r>
    </w:p>
    <w:p>
      <w:pPr>
        <w:pStyle w:val="Heading1"/>
      </w:pPr>
      <w:r>
        <w:t>2.  Workshop Agendas</w:t>
      </w:r>
    </w:p>
    <w:p>
      <w:pPr>
        <w:pStyle w:val="Heading2"/>
      </w:pPr>
      <w:r>
        <w:t>Workshop 1 — KPI Target Setting and Indicator Selection (90 min)</w:t>
      </w:r>
    </w:p>
    <w:tbl>
      <w:tblPr>
        <w:tblW w:type="auto" w:w="0"/>
        <w:jc w:val="left"/>
        <w:tblLook w:firstColumn="1" w:firstRow="1" w:lastColumn="0" w:lastRow="0" w:noHBand="0" w:noVBand="1" w:val="04A0"/>
      </w:tblPr>
      <w:tblGrid>
        <w:gridCol w:w="3120"/>
        <w:gridCol w:w="3120"/>
        <w:gridCol w:w="3120"/>
      </w:tblGrid>
      <w:tr>
        <w:trPr>
          <w:tblHeader/>
        </w:trPr>
        <w:tc>
          <w:tcPr>
            <w:tcW w:type="dxa" w:w="144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Time</w:t>
            </w:r>
          </w:p>
        </w:tc>
        <w:tc>
          <w:tcPr>
            <w:tcW w:type="dxa" w:w="3744"/>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Agenda Item</w:t>
            </w:r>
          </w:p>
        </w:tc>
        <w:tc>
          <w:tcPr>
            <w:tcW w:type="dxa" w:w="835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Facilitation Notes</w:t>
            </w:r>
          </w:p>
        </w:tc>
      </w:tr>
      <w:tr>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0:00–0:20</w:t>
            </w:r>
          </w:p>
        </w:tc>
        <w:tc>
          <w:tcPr>
            <w:tcW w:type="dxa" w:w="374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Business outcome alignment</w:t>
            </w:r>
          </w:p>
        </w:tc>
        <w:tc>
          <w:tcPr>
            <w:tcW w:type="dxa" w:w="835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Ask the IT Director: what does IT success look like in 12 months? What metrics would confirm the engagement delivered value? These answers become the KPI targets. Common answers: Incident MTTR reduction, SLA compliance rate, change success rate, VA deflection rate.</w:t>
            </w:r>
          </w:p>
        </w:tc>
      </w:tr>
      <w:tr>
        <w:tc>
          <w:tcPr>
            <w:tcW w:type="dxa" w:w="14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0:20–0:50</w:t>
            </w:r>
          </w:p>
        </w:tc>
        <w:tc>
          <w:tcPr>
            <w:tcW w:type="dxa" w:w="374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OOTB indicator library review</w:t>
            </w:r>
          </w:p>
        </w:tc>
        <w:tc>
          <w:tcPr>
            <w:tcW w:type="dxa" w:w="835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Walk through the OOTB PA indicator library. For each process area, show the available OOTB indicators. Recommend 5-7 indicators per process area. Do not configure more than 20 total — the IT Director will track only what fits on one dashboard.</w:t>
            </w:r>
          </w:p>
        </w:tc>
      </w:tr>
      <w:tr>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0:50–1:10</w:t>
            </w:r>
          </w:p>
        </w:tc>
        <w:tc>
          <w:tcPr>
            <w:tcW w:type="dxa" w:w="374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KPI target setting</w:t>
            </w:r>
          </w:p>
        </w:tc>
        <w:tc>
          <w:tcPr>
            <w:tcW w:type="dxa" w:w="835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For each selected indicator, set a target: baseline (current state), 90-day target, 12-month target. Targets must be realistic — a 10% MTTR reduction in 90 days is achievable; 50% is not without significant process change.</w:t>
            </w:r>
          </w:p>
        </w:tc>
      </w:tr>
      <w:tr>
        <w:tc>
          <w:tcPr>
            <w:tcW w:type="dxa" w:w="14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1:10–1:25</w:t>
            </w:r>
          </w:p>
        </w:tc>
        <w:tc>
          <w:tcPr>
            <w:tcW w:type="dxa" w:w="374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Dashboard layout design</w:t>
            </w:r>
          </w:p>
        </w:tc>
        <w:tc>
          <w:tcPr>
            <w:tcW w:type="dxa" w:w="835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Present the OOTB dashboard layout options. Recommendation: one executive dashboard (5-7 KPIs, trend view) and one operational dashboard per process area (10-15 metrics, current state view). Do not mix audiences on a single dashboard.</w:t>
            </w:r>
          </w:p>
        </w:tc>
      </w:tr>
      <w:tr>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1:25–1:30</w:t>
            </w:r>
          </w:p>
        </w:tc>
        <w:tc>
          <w:tcPr>
            <w:tcW w:type="dxa" w:w="374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Next steps</w:t>
            </w:r>
          </w:p>
        </w:tc>
        <w:tc>
          <w:tcPr>
            <w:tcW w:type="dxa" w:w="835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ECS to configure indicators and data collection jobs. Customer to review and confirm KPI targets before Workshop 2.</w:t>
            </w:r>
          </w:p>
        </w:tc>
      </w:tr>
    </w:tbl>
    <w:p>
      <w:pPr>
        <w:spacing w:after="40"/>
      </w:pPr>
    </w:p>
    <w:p>
      <w:pPr>
        <w:pStyle w:val="Heading2"/>
      </w:pPr>
      <w:r>
        <w:t>Workshop 2 — Dashboard Configuration and Scorecard Review (90 min)</w:t>
      </w:r>
    </w:p>
    <w:tbl>
      <w:tblPr>
        <w:tblW w:type="auto" w:w="0"/>
        <w:jc w:val="left"/>
        <w:tblLook w:firstColumn="1" w:firstRow="1" w:lastColumn="0" w:lastRow="0" w:noHBand="0" w:noVBand="1" w:val="04A0"/>
      </w:tblPr>
      <w:tblGrid>
        <w:gridCol w:w="3120"/>
        <w:gridCol w:w="3120"/>
        <w:gridCol w:w="3120"/>
      </w:tblGrid>
      <w:tr>
        <w:trPr>
          <w:tblHeader/>
        </w:trPr>
        <w:tc>
          <w:tcPr>
            <w:tcW w:type="dxa" w:w="144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Time</w:t>
            </w:r>
          </w:p>
        </w:tc>
        <w:tc>
          <w:tcPr>
            <w:tcW w:type="dxa" w:w="3744"/>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Agenda Item</w:t>
            </w:r>
          </w:p>
        </w:tc>
        <w:tc>
          <w:tcPr>
            <w:tcW w:type="dxa" w:w="835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Facilitation Notes</w:t>
            </w:r>
          </w:p>
        </w:tc>
      </w:tr>
      <w:tr>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0:00–0:20</w:t>
            </w:r>
          </w:p>
        </w:tc>
        <w:tc>
          <w:tcPr>
            <w:tcW w:type="dxa" w:w="374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Dashboard walkthrough</w:t>
            </w:r>
          </w:p>
        </w:tc>
        <w:tc>
          <w:tcPr>
            <w:tcW w:type="dxa" w:w="835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Walk through the configured PA dashboards. Confirm each indicator is calculating correctly from real data. Flag any indicators with zero data (likely a data collection or category configuration issue).</w:t>
            </w:r>
          </w:p>
        </w:tc>
      </w:tr>
      <w:tr>
        <w:tc>
          <w:tcPr>
            <w:tcW w:type="dxa" w:w="14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0:20–0:40</w:t>
            </w:r>
          </w:p>
        </w:tc>
        <w:tc>
          <w:tcPr>
            <w:tcW w:type="dxa" w:w="374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Scorecard configuration</w:t>
            </w:r>
          </w:p>
        </w:tc>
        <w:tc>
          <w:tcPr>
            <w:tcW w:type="dxa" w:w="835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Configure the OOTB scorecard. Assign KPI targets to each indicator. Show the traffic-light scoring: green/yellow/red thresholds for each KPI.</w:t>
            </w:r>
          </w:p>
        </w:tc>
      </w:tr>
      <w:tr>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0:40–1:00</w:t>
            </w:r>
          </w:p>
        </w:tc>
        <w:tc>
          <w:tcPr>
            <w:tcW w:type="dxa" w:w="374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PA data collection schedule</w:t>
            </w:r>
          </w:p>
        </w:tc>
        <w:tc>
          <w:tcPr>
            <w:tcW w:type="dxa" w:w="835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Confirm the data collection job schedule: daily collection for operational metrics, weekly rollup for trend indicators. Confirm the historical data backfill has run for at least 2 weeks of prior data.</w:t>
            </w:r>
          </w:p>
        </w:tc>
      </w:tr>
      <w:tr>
        <w:tc>
          <w:tcPr>
            <w:tcW w:type="dxa" w:w="14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1:00–1:15</w:t>
            </w:r>
          </w:p>
        </w:tc>
        <w:tc>
          <w:tcPr>
            <w:tcW w:type="dxa" w:w="374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Governance — who owns KPI review?</w:t>
            </w:r>
          </w:p>
        </w:tc>
        <w:tc>
          <w:tcPr>
            <w:tcW w:type="dxa" w:w="835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Establish who reviews PA dashboards and at what cadence: IT Director (monthly executive review), Service Desk Manager (weekly operational review), Change Manager (change success review after each change window). Document in the governance charter.</w:t>
            </w:r>
          </w:p>
        </w:tc>
      </w:tr>
      <w:tr>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1:15–1:30</w:t>
            </w:r>
          </w:p>
        </w:tc>
        <w:tc>
          <w:tcPr>
            <w:tcW w:type="dxa" w:w="374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Go-live readiness check</w:t>
            </w:r>
          </w:p>
        </w:tc>
        <w:tc>
          <w:tcPr>
            <w:tcW w:type="dxa" w:w="835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Confirm PA dashboards will be populated with real operational data at go-live. If insufficient data has accumulated, add a 2-week post-go-live PA review to the hypercare plan.</w:t>
            </w:r>
          </w:p>
        </w:tc>
      </w:tr>
    </w:tbl>
    <w:p>
      <w:pPr>
        <w:spacing w:after="40"/>
      </w:pPr>
    </w:p>
    <w:p>
      <w:r>
        <w:br w:type="page"/>
      </w:r>
    </w:p>
    <w:p>
      <w:pPr>
        <w:pStyle w:val="Heading1"/>
      </w:pPr>
      <w:r>
        <w:t>3.  Decision Pre-Fills — ECS Recommendations</w:t>
      </w:r>
    </w:p>
    <w:p>
      <w:pPr>
        <w:pStyle w:val="Heading2"/>
      </w:pPr>
      <w:r>
        <w:t>Decision 1 — Indicator Scope</w:t>
      </w:r>
    </w:p>
    <w:tbl>
      <w:tblPr>
        <w:tblW w:type="auto" w:w="0"/>
        <w:jc w:val="left"/>
        <w:tblLook w:firstColumn="1" w:firstRow="1" w:lastColumn="0" w:lastRow="0" w:noHBand="0" w:noVBand="1" w:val="04A0"/>
      </w:tblPr>
      <w:tblGrid>
        <w:gridCol w:w="2340"/>
        <w:gridCol w:w="2340"/>
        <w:gridCol w:w="2340"/>
        <w:gridCol w:w="2340"/>
      </w:tblGrid>
      <w:tr>
        <w:trPr>
          <w:tblHeader/>
        </w:trPr>
        <w:tc>
          <w:tcPr>
            <w:tcW w:type="dxa" w:w="3168"/>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ECS Recommendation</w:t>
            </w:r>
          </w:p>
        </w:tc>
        <w:tc>
          <w:tcPr>
            <w:tcW w:type="dxa" w:w="3168"/>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Rationale</w:t>
            </w:r>
          </w:p>
        </w:tc>
        <w:tc>
          <w:tcPr>
            <w:tcW w:type="dxa" w:w="288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Common Pushback</w:t>
            </w:r>
          </w:p>
        </w:tc>
        <w:tc>
          <w:tcPr>
            <w:tcW w:type="dxa" w:w="432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ECS Response</w:t>
            </w:r>
          </w:p>
        </w:tc>
      </w:tr>
      <w:tr>
        <w:tc>
          <w:tcPr>
            <w:tcW w:type="dxa" w:w="316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Maximum 20 PA indicators at MVP across all process areas. 5-7 per process area. OOTB indicators only.</w:t>
            </w:r>
          </w:p>
        </w:tc>
        <w:tc>
          <w:tcPr>
            <w:tcW w:type="dxa" w:w="316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More indicators do not improve visibility — they create noise. Executives track 5-7 metrics. Operations track 10-15. More than 20 total means some indicators will never be reviewed.</w:t>
            </w:r>
          </w:p>
        </w:tc>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'We want to track 50 metrics across all processes.'</w:t>
            </w:r>
          </w:p>
        </w:tc>
        <w:tc>
          <w:tcPr>
            <w:tcW w:type="dxa" w:w="432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'50 metrics means 50 data quality problems to diagnose if any are wrong. Start with 20 that the IT Director will review. After 90 days of operation, add the next tier. The PA indicator library has 200+ indicators — we expand methodically, not all at once.'</w:t>
            </w:r>
          </w:p>
        </w:tc>
      </w:tr>
    </w:tbl>
    <w:p>
      <w:pPr>
        <w:spacing w:after="40"/>
      </w:pPr>
    </w:p>
    <w:p>
      <w:r>
        <w:br w:type="page"/>
      </w:r>
    </w:p>
    <w:p>
      <w:pPr>
        <w:pStyle w:val="Heading1"/>
      </w:pPr>
      <w:r>
        <w:t>4.  Common Pitfalls</w:t>
      </w:r>
    </w:p>
    <w:p>
      <w:pPr>
        <w:pStyle w:val="Heading2"/>
      </w:pPr>
      <w:r>
        <w:t>Pitfall 1 — Vanity KPI Selection</w:t>
      </w:r>
    </w:p>
    <w:p>
      <w:pPr>
        <w:spacing w:after="160" w:before="0"/>
      </w:pPr>
      <w:r>
        <w:rPr>
          <w:rFonts w:ascii="Calibri" w:hAnsi="Calibri"/>
          <w:color w:val="1A1A1A"/>
          <w:sz w:val="22"/>
        </w:rPr>
        <w:t>The customer selects KPIs that look good rather than KPIs that drive behavior. 'Total incidents resolved' is a vanity metric — it goes up when volume increases regardless of quality. 'MTTR by category' drives analyst behavior. Redirect: 'For each metric you want to track, ask: what behavior does monitoring this metric reinforce? If the answer is nothing — if tracking it doesn't change how anyone does their job — it is a vanity metric. We track metrics that change behavior.'</w:t>
      </w:r>
    </w:p>
    <w:p>
      <w:pPr>
        <w:pStyle w:val="Heading2"/>
      </w:pPr>
      <w:r>
        <w:t>Pitfall 2 — Insufficient Historical Data</w:t>
      </w:r>
    </w:p>
    <w:p>
      <w:pPr>
        <w:spacing w:after="160" w:before="0"/>
      </w:pPr>
      <w:r>
        <w:rPr>
          <w:rFonts w:ascii="Calibri" w:hAnsi="Calibri"/>
          <w:color w:val="1A1A1A"/>
          <w:sz w:val="22"/>
        </w:rPr>
        <w:t>The PA dashboards are configured but Sprint 6 has only run for 3 days. The dashboards show flat trend lines and missing baseline data. Prevention: start the PA data collection jobs at the beginning of Sprint 2 or 3 (even before the PA dashboards are configured) so that 8-10 weeks of historical data is available by Sprint 6 demo.</w:t>
      </w:r>
    </w:p>
    <w:p>
      <w:pPr>
        <w:pStyle w:val="Heading1"/>
      </w:pPr>
      <w:r>
        <w:t>5.  Sprint Demo Discipline</w:t>
      </w:r>
    </w:p>
    <w:p>
      <w:pPr>
        <w:pStyle w:val="Heading2"/>
      </w:pPr>
      <w:r>
        <w:t>Pre-Demo Checklist</w:t>
      </w:r>
    </w:p>
    <w:tbl>
      <w:tblPr>
        <w:tblW w:type="auto" w:w="0"/>
        <w:jc w:val="left"/>
        <w:tblLook w:firstColumn="1" w:firstRow="1" w:lastColumn="0" w:lastRow="0" w:noHBand="0" w:noVBand="1" w:val="04A0"/>
      </w:tblPr>
      <w:tblGrid>
        <w:gridCol w:w="2340"/>
        <w:gridCol w:w="2340"/>
        <w:gridCol w:w="2340"/>
        <w:gridCol w:w="2340"/>
      </w:tblGrid>
      <w:tr>
        <w:trPr>
          <w:tblHeader/>
        </w:trPr>
        <w:tc>
          <w:tcPr>
            <w:tcW w:type="dxa" w:w="576"/>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w:t>
            </w:r>
          </w:p>
        </w:tc>
        <w:tc>
          <w:tcPr>
            <w:tcW w:type="dxa" w:w="835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Check</w:t>
            </w:r>
          </w:p>
        </w:tc>
        <w:tc>
          <w:tcPr>
            <w:tcW w:type="dxa" w:w="2016"/>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Owner</w:t>
            </w:r>
          </w:p>
        </w:tc>
        <w:tc>
          <w:tcPr>
            <w:tcW w:type="dxa" w:w="144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Status</w:t>
            </w:r>
          </w:p>
        </w:tc>
      </w:tr>
      <w:tr>
        <w:tc>
          <w:tcPr>
            <w:tcW w:type="dxa" w:w="57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1</w:t>
            </w:r>
          </w:p>
        </w:tc>
        <w:tc>
          <w:tcPr>
            <w:tcW w:type="dxa" w:w="835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PA indicators configured for 3 process areas with data populating correctly</w:t>
            </w:r>
          </w:p>
        </w:tc>
        <w:tc>
          <w:tcPr>
            <w:tcW w:type="dxa" w:w="201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ECS SA</w:t>
            </w:r>
          </w:p>
        </w:tc>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t>
            </w:r>
          </w:p>
        </w:tc>
      </w:tr>
      <w:tr>
        <w:tc>
          <w:tcPr>
            <w:tcW w:type="dxa" w:w="57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2</w:t>
            </w:r>
          </w:p>
        </w:tc>
        <w:tc>
          <w:tcPr>
            <w:tcW w:type="dxa" w:w="835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KPI targets set for each indicator: baseline, 90-day target, 12-month target</w:t>
            </w:r>
          </w:p>
        </w:tc>
        <w:tc>
          <w:tcPr>
            <w:tcW w:type="dxa" w:w="201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ECS SA</w:t>
            </w:r>
          </w:p>
        </w:tc>
        <w:tc>
          <w:tcPr>
            <w:tcW w:type="dxa" w:w="14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w:t>
            </w:r>
          </w:p>
        </w:tc>
      </w:tr>
      <w:tr>
        <w:tc>
          <w:tcPr>
            <w:tcW w:type="dxa" w:w="57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3</w:t>
            </w:r>
          </w:p>
        </w:tc>
        <w:tc>
          <w:tcPr>
            <w:tcW w:type="dxa" w:w="835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Executive dashboard and at least one operational dashboard configured</w:t>
            </w:r>
          </w:p>
        </w:tc>
        <w:tc>
          <w:tcPr>
            <w:tcW w:type="dxa" w:w="201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ECS SA</w:t>
            </w:r>
          </w:p>
        </w:tc>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t>
            </w:r>
          </w:p>
        </w:tc>
      </w:tr>
      <w:tr>
        <w:tc>
          <w:tcPr>
            <w:tcW w:type="dxa" w:w="57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4</w:t>
            </w:r>
          </w:p>
        </w:tc>
        <w:tc>
          <w:tcPr>
            <w:tcW w:type="dxa" w:w="835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Scorecard showing traffic-light status for each KPI</w:t>
            </w:r>
          </w:p>
        </w:tc>
        <w:tc>
          <w:tcPr>
            <w:tcW w:type="dxa" w:w="201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ECS SA</w:t>
            </w:r>
          </w:p>
        </w:tc>
        <w:tc>
          <w:tcPr>
            <w:tcW w:type="dxa" w:w="14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w:t>
            </w:r>
          </w:p>
        </w:tc>
      </w:tr>
      <w:tr>
        <w:tc>
          <w:tcPr>
            <w:tcW w:type="dxa" w:w="57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5</w:t>
            </w:r>
          </w:p>
        </w:tc>
        <w:tc>
          <w:tcPr>
            <w:tcW w:type="dxa" w:w="835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PA governance: named owners for each dashboard review cadence</w:t>
            </w:r>
          </w:p>
        </w:tc>
        <w:tc>
          <w:tcPr>
            <w:tcW w:type="dxa" w:w="201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ECS Lead</w:t>
            </w:r>
          </w:p>
        </w:tc>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t>
            </w:r>
          </w:p>
        </w:tc>
      </w:tr>
    </w:tbl>
    <w:p>
      <w:pPr>
        <w:spacing w:after="40"/>
      </w:pPr>
    </w:p>
    <w:p>
      <w:pPr>
        <w:pStyle w:val="Heading1"/>
      </w:pPr>
      <w:r>
        <w:t>6.  Sprint Retro Template</w:t>
      </w:r>
    </w:p>
    <w:tbl>
      <w:tblPr>
        <w:tblW w:type="auto" w:w="0"/>
        <w:jc w:val="left"/>
        <w:tblLook w:firstColumn="1" w:firstRow="1" w:lastColumn="0" w:lastRow="0" w:noHBand="0" w:noVBand="1" w:val="04A0"/>
      </w:tblPr>
      <w:tblGrid>
        <w:gridCol w:w="3120"/>
        <w:gridCol w:w="3120"/>
        <w:gridCol w:w="3120"/>
      </w:tblGrid>
      <w:tr>
        <w:trPr>
          <w:tblHeader/>
        </w:trPr>
        <w:tc>
          <w:tcPr>
            <w:tcW w:type="dxa" w:w="2304"/>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Category</w:t>
            </w:r>
          </w:p>
        </w:tc>
        <w:tc>
          <w:tcPr>
            <w:tcW w:type="dxa" w:w="576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Question</w:t>
            </w:r>
          </w:p>
        </w:tc>
        <w:tc>
          <w:tcPr>
            <w:tcW w:type="dxa" w:w="547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Capture Here</w:t>
            </w:r>
          </w:p>
        </w:tc>
      </w:tr>
      <w:tr>
        <w:tc>
          <w:tcPr>
            <w:tcW w:type="dxa" w:w="230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What worked</w:t>
            </w:r>
          </w:p>
        </w:tc>
        <w:tc>
          <w:tcPr>
            <w:tcW w:type="dxa" w:w="576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Which process area had the cleanest underlying data for PA?</w:t>
            </w:r>
          </w:p>
        </w:tc>
        <w:tc>
          <w:tcPr>
            <w:tcW w:type="dxa" w:w="547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r>
          </w:p>
        </w:tc>
      </w:tr>
      <w:tr>
        <w:tc>
          <w:tcPr>
            <w:tcW w:type="dxa" w:w="230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What didn't work</w:t>
            </w:r>
          </w:p>
        </w:tc>
        <w:tc>
          <w:tcPr>
            <w:tcW w:type="dxa" w:w="576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Which indicators had data quality issues?</w:t>
            </w:r>
          </w:p>
        </w:tc>
        <w:tc>
          <w:tcPr>
            <w:tcW w:type="dxa" w:w="547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r>
          </w:p>
        </w:tc>
      </w:tr>
      <w:tr>
        <w:tc>
          <w:tcPr>
            <w:tcW w:type="dxa" w:w="230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Governance</w:t>
            </w:r>
          </w:p>
        </w:tc>
        <w:tc>
          <w:tcPr>
            <w:tcW w:type="dxa" w:w="576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Are dashboard owners and review cadences confirmed?</w:t>
            </w:r>
          </w:p>
        </w:tc>
        <w:tc>
          <w:tcPr>
            <w:tcW w:type="dxa" w:w="547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r>
          </w:p>
        </w:tc>
      </w:tr>
      <w:tr>
        <w:tc>
          <w:tcPr>
            <w:tcW w:type="dxa" w:w="230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Go-live readiness</w:t>
            </w:r>
          </w:p>
        </w:tc>
        <w:tc>
          <w:tcPr>
            <w:tcW w:type="dxa" w:w="576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Will PA dashboards have 2+ weeks of data at go-live?</w:t>
            </w:r>
          </w:p>
        </w:tc>
        <w:tc>
          <w:tcPr>
            <w:tcW w:type="dxa" w:w="547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r>
          </w:p>
        </w:tc>
      </w:tr>
      <w:tr>
        <w:tc>
          <w:tcPr>
            <w:tcW w:type="dxa" w:w="230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ECS learning</w:t>
            </w:r>
          </w:p>
        </w:tc>
        <w:tc>
          <w:tcPr>
            <w:tcW w:type="dxa" w:w="576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What would we do differently?</w:t>
            </w:r>
          </w:p>
        </w:tc>
        <w:tc>
          <w:tcPr>
            <w:tcW w:type="dxa" w:w="547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r>
          </w:p>
        </w:tc>
      </w:tr>
    </w:tbl>
    <w:p>
      <w:pPr>
        <w:spacing w:after="40"/>
      </w:pPr>
    </w:p>
    <w:sectPr w:rsidR="00FC693F" w:rsidRPr="0006063C" w:rsidSect="00034616">
      <w:headerReference w:type="default" r:id="rId9"/>
      <w:footerReference w:type="default" r:id="rId10"/>
      <w:pgSz w:w="12240" w:h="15840"/>
      <w:pgMar w:top="1152" w:right="1440" w:bottom="1152" w:left="1440" w:header="504"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9360"/>
      </w:tabs>
    </w:pPr>
    <w:r>
      <w:rPr>
        <w:rFonts w:ascii="Calibri" w:hAnsi="Calibri"/>
        <w:color w:val="475569"/>
        <w:sz w:val="16"/>
      </w:rPr>
      <w:t>ECS Federal · ServiceNow Practice  ·  Internal Use Only</w:t>
    </w:r>
    <w:r>
      <w:tab/>
    </w:r>
    <w:r>
      <w:rPr>
        <w:rFonts w:ascii="Calibri" w:hAnsi="Calibri"/>
        <w:color w:val="475569"/>
        <w:sz w:val="16"/>
      </w:rPr>
      <w:t xml:space="preserve">Page </w:t>
    </w:r>
    <w:r>
      <w:rPr>
        <w:rFonts w:ascii="Calibri" w:hAnsi="Calibri"/>
        <w:color w:val="475569"/>
        <w:sz w:val="16"/>
      </w:rPr>
      <w:fldChar w:fldCharType="begin"/>
      <w:instrText>PAGE</w:instrText>
      <w:fldChar w:fldCharType="separate"/>
      <w:fldChar w:fldCharType="end"/>
    </w:r>
    <w:r>
      <w:rPr>
        <w:rFonts w:ascii="Calibri" w:hAnsi="Calibri"/>
        <w:color w:val="475569"/>
        <w:sz w:val="16"/>
      </w:rPr>
      <w:t xml:space="preserve"> of </w:t>
    </w:r>
    <w:r>
      <w:rPr>
        <w:rFonts w:ascii="Calibri" w:hAnsi="Calibri"/>
        <w:color w:val="475569"/>
        <w:sz w:val="16"/>
      </w:rPr>
      <w:fldChar w:fldCharType="begin"/>
      <w:instrText>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color="14B8A6" w:sz="8" w:space="1"/>
      </w:pBdr>
      <w:tabs>
        <w:tab w:val="right" w:pos="9360"/>
      </w:tabs>
    </w:pPr>
    <w:r>
      <w:drawing>
        <wp:inline xmlns:a="http://schemas.openxmlformats.org/drawingml/2006/main" xmlns:pic="http://schemas.openxmlformats.org/drawingml/2006/picture">
          <wp:extent cx="960120" cy="178932"/>
          <wp:docPr id="1" name="Picture 1"/>
          <wp:cNvGraphicFramePr>
            <a:graphicFrameLocks noChangeAspect="1"/>
          </wp:cNvGraphicFramePr>
          <a:graphic>
            <a:graphicData uri="http://schemas.openxmlformats.org/drawingml/2006/picture">
              <pic:pic>
                <pic:nvPicPr>
                  <pic:cNvPr id="0" name="everforth_logo.png"/>
                  <pic:cNvPicPr/>
                </pic:nvPicPr>
                <pic:blipFill>
                  <a:blip r:embed="rId1"/>
                  <a:stretch>
                    <a:fillRect/>
                  </a:stretch>
                </pic:blipFill>
                <pic:spPr>
                  <a:xfrm>
                    <a:off x="0" y="0"/>
                    <a:ext cx="960120" cy="178932"/>
                  </a:xfrm>
                  <a:prstGeom prst="rect"/>
                </pic:spPr>
              </pic:pic>
            </a:graphicData>
          </a:graphic>
        </wp:inline>
      </w:drawing>
    </w:r>
    <w:r>
      <w:tab/>
    </w:r>
    <w:r>
      <w:rPr>
        <w:rFonts w:ascii="Calibri" w:hAnsi="Calibri"/>
        <w:color w:val="475569"/>
        <w:spacing w:val="30"/>
        <w:sz w:val="18"/>
      </w:rPr>
      <w:t>Internal · INT-FG-14 Facilitator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cs="Calibri" w:eastAsia="Calibri"/>
      <w:b/>
      <w:bCs/>
      <w:color w:val="0B1F3A"/>
      <w:sz w:val="32"/>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cs="Calibri" w:eastAsia="Calibri"/>
      <w:b/>
      <w:bCs/>
      <w:color w:val="0B1F3A"/>
      <w:sz w:val="26"/>
      <w:szCs w:val="26"/>
    </w:rPr>
  </w:style>
  <w:style w:type="paragraph" w:styleId="Heading3">
    <w:name w:val="heading 3"/>
    <w:basedOn w:val="Normal"/>
    <w:next w:val="Normal"/>
    <w:link w:val="Heading3Char"/>
    <w:uiPriority w:val="9"/>
    <w:unhideWhenUsed/>
    <w:qFormat/>
    <w:rsid w:val="00FC693F"/>
    <w:pPr>
      <w:keepNext/>
      <w:keepLines/>
      <w:spacing w:before="200" w:after="40"/>
      <w:outlineLvl w:val="2"/>
    </w:pPr>
    <w:rPr>
      <w:rFonts w:asciiTheme="majorHAnsi" w:eastAsiaTheme="majorEastAsia" w:hAnsiTheme="majorHAnsi" w:cstheme="majorBidi" w:ascii="Calibri" w:hAnsi="Calibri" w:cs="Calibri" w:eastAsia="Calibri"/>
      <w:b/>
      <w:bCs/>
      <w:color w:val="2E74B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cs="Calibri" w:eastAsia="Calibri"/>
      <w:b/>
      <w:color w:val="0B1F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