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p>
    <w:p>
      <w:pPr>
        <w:spacing w:after="120"/>
      </w:pPr>
    </w:p>
    <w:p>
      <w:pPr>
        <w:spacing w:before="800" w:after="160"/>
      </w:pPr>
      <w:r>
        <w:rPr>
          <w:rFonts w:ascii="Calibri" w:hAnsi="Calibri"/>
          <w:b/>
          <w:color w:val="14B8A6"/>
          <w:spacing w:val="60"/>
          <w:sz w:val="18"/>
        </w:rPr>
        <w:t>INTERNAL · PER-SPRINT FACILITATOR GUIDE</w:t>
      </w:r>
    </w:p>
    <w:p>
      <w:pPr>
        <w:spacing w:before="0" w:after="40"/>
      </w:pPr>
      <w:r>
        <w:rPr>
          <w:rFonts w:ascii="Calibri" w:hAnsi="Calibri"/>
          <w:b/>
          <w:color w:val="0B1F3A"/>
          <w:sz w:val="56"/>
        </w:rPr>
        <w:t>Sprint 6 — Reporting &amp; Stabilization</w:t>
      </w:r>
    </w:p>
    <w:p>
      <w:pPr>
        <w:spacing w:before="0" w:after="40"/>
      </w:pPr>
      <w:r>
        <w:rPr>
          <w:rFonts w:ascii="Calibri" w:hAnsi="Calibri"/>
          <w:b/>
          <w:color w:val="0B1F3A"/>
          <w:sz w:val="56"/>
        </w:rPr>
        <w:t>Facilitator Guide</w:t>
      </w:r>
    </w:p>
    <w:p>
      <w:pPr>
        <w:spacing w:before="120" w:after="400"/>
      </w:pPr>
      <w:r>
        <w:rPr>
          <w:rFonts w:ascii="Calibri" w:hAnsi="Calibri"/>
          <w:i/>
          <w:color w:val="0D9488"/>
          <w:sz w:val="24"/>
        </w:rPr>
        <w:t>Workshop agenda, decision pre-fills, OOTB defense language, common pitfalls, and retro template for Sprint 6 Reporting &amp; Stabilization</w:t>
      </w:r>
    </w:p>
    <w:p>
      <w:pPr>
        <w:pBdr>
          <w:bottom w:val="single" w:sz="12" w:space="1" w:color="14B8A6"/>
        </w:pBdr>
        <w:spacing w:before="0" w:after="160"/>
      </w:pPr>
    </w:p>
    <w:p>
      <w:pPr>
        <w:spacing w:after="40"/>
      </w:pPr>
      <w:r>
        <w:rPr>
          <w:rFonts w:ascii="Calibri" w:hAnsi="Calibri"/>
          <w:b/>
          <w:i w:val="0"/>
          <w:color w:val="0B1F3A"/>
          <w:sz w:val="22"/>
        </w:rPr>
        <w:t>ECS Federal · ServiceNow Practice</w:t>
      </w:r>
    </w:p>
    <w:p>
      <w:pPr>
        <w:spacing w:after="40"/>
      </w:pPr>
      <w:r>
        <w:rPr>
          <w:rFonts w:ascii="Calibri" w:hAnsi="Calibri"/>
          <w:b w:val="0"/>
          <w:i w:val="0"/>
          <w:color w:val="475569"/>
          <w:sz w:val="20"/>
        </w:rPr>
        <w:t>Audience: ECS Lead Consultant, Solution Architect, Engagement Manager</w:t>
      </w:r>
    </w:p>
    <w:p>
      <w:pPr>
        <w:spacing w:after="40"/>
      </w:pPr>
      <w:r>
        <w:rPr>
          <w:rFonts w:ascii="Calibri" w:hAnsi="Calibri"/>
          <w:b w:val="0"/>
          <w:i w:val="0"/>
          <w:color w:val="475569"/>
          <w:sz w:val="20"/>
        </w:rPr>
        <w:t>Companion to: Sprint 6 Reporting Workbook · Reporting Stabilization Accelerator Pack (AP-20) · CLT-CO series</w:t>
      </w:r>
    </w:p>
    <w:p>
      <w:pPr>
        <w:spacing w:after="80"/>
      </w:pPr>
      <w:r>
        <w:rPr>
          <w:rFonts w:ascii="Calibri" w:hAnsi="Calibri"/>
          <w:b w:val="0"/>
          <w:i w:val="0"/>
          <w:color w:val="475569"/>
          <w:sz w:val="20"/>
        </w:rPr>
        <w:t>Document ID: INT-FG-15     ·     Version: 1.0     ·     Status: Released</w:t>
      </w:r>
    </w:p>
    <w:p>
      <w:pPr>
        <w:spacing w:after="280"/>
      </w:pPr>
      <w:r>
        <w:rPr>
          <w:rFonts w:ascii="Calibri" w:hAnsi="Calibri"/>
          <w:b w:val="0"/>
          <w:i/>
          <w:color w:val="475569"/>
          <w:sz w:val="20"/>
        </w:rPr>
        <w:t>Internal Use Only · Confidential</w:t>
      </w:r>
    </w:p>
    <w:p>
      <w:r>
        <w:br w:type="page"/>
      </w:r>
    </w:p>
    <w:p>
      <w:pPr>
        <w:pStyle w:val="Heading1"/>
      </w:pPr>
      <w:r>
        <w:t>How to Use This Guide</w:t>
      </w:r>
    </w:p>
    <w:p>
      <w:pPr>
        <w:spacing w:after="160" w:before="0"/>
      </w:pPr>
      <w:r>
        <w:rPr>
          <w:rFonts w:ascii="Calibri" w:hAnsi="Calibri"/>
          <w:color w:val="1A1A1A"/>
          <w:sz w:val="22"/>
        </w:rPr>
        <w:t>Reporting &amp; Stabilization is the sprint where everything that was deferred gets re-examined. Stakeholders will surface Governed Exceptions items they want resolved before go-live. The facilitator's job is to hold the line: the go-live cutover date is fixed. New requirements go to the Phase 2 backlog. Stabilization, not scope expansion, is the mandate.</w:t>
      </w:r>
    </w:p>
    <w:p>
      <w:pPr>
        <w:pBdr>
          <w:top w:val="single" w:sz="4" w:space="4" w:color="2E74B5"/>
          <w:left w:val="single" w:sz="4" w:space="4" w:color="2E74B5"/>
          <w:bottom w:val="single" w:sz="4" w:space="4" w:color="2E74B5"/>
          <w:right w:val="single" w:sz="4" w:space="4" w:color="2E74B5"/>
        </w:pBdr>
        <w:shd w:val="clear" w:color="auto" w:fill="EAF1F8"/>
        <w:spacing w:before="120" w:after="160"/>
      </w:pPr>
      <w:r>
        <w:rPr>
          <w:rFonts w:ascii="Calibri" w:hAnsi="Calibri"/>
          <w:b/>
          <w:color w:val="0B1F3A"/>
          <w:sz w:val="20"/>
        </w:rPr>
        <w:t>Sprint 6 is not the time to add scope. It is the time to stabilize scope. Every new requirement introduced in Sprint 6 adds go-live risk. Hold the line firmly, document deferred items clearly, and confirm the Phase 2 roadmap so stakeholders know their requests are not being abandoned — they are being sequenced.</w:t>
      </w:r>
    </w:p>
    <w:p>
      <w:r>
        <w:br w:type="page"/>
      </w:r>
    </w:p>
    <w:p>
      <w:pPr>
        <w:pStyle w:val="Heading1"/>
      </w:pPr>
      <w:r>
        <w:t>1.  Sprint Overview</w:t>
      </w:r>
    </w:p>
    <w:tbl>
      <w:tblPr>
        <w:tblW w:type="auto" w:w="0"/>
        <w:jc w:val="left"/>
        <w:tblLook w:firstColumn="1" w:firstRow="1" w:lastColumn="0" w:lastRow="0" w:noHBand="0" w:noVBand="1" w:val="04A0"/>
      </w:tblPr>
      <w:tblGrid>
        <w:gridCol w:w="4680"/>
        <w:gridCol w:w="4680"/>
      </w:tblGrid>
      <w:tr>
        <w:trPr>
          <w:tblHeader/>
        </w:trPr>
        <w:tc>
          <w:tcPr>
            <w:tcW w:type="dxa" w:w="3456"/>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Item</w:t>
            </w:r>
          </w:p>
        </w:tc>
        <w:tc>
          <w:tcPr>
            <w:tcW w:type="dxa" w:w="1008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Detail</w:t>
            </w:r>
          </w:p>
        </w:tc>
      </w:tr>
      <w:tr>
        <w:tc>
          <w:tcPr>
            <w:tcW w:type="dxa" w:w="345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Sprint number</w:t>
            </w:r>
          </w:p>
        </w:tc>
        <w:tc>
          <w:tcPr>
            <w:tcW w:type="dxa" w:w="100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Sprint 6 of 6 (Month 5-6, Weeks 15-16) — final sprint before hypercare and go-live</w:t>
            </w:r>
          </w:p>
        </w:tc>
      </w:tr>
      <w:tr>
        <w:tc>
          <w:tcPr>
            <w:tcW w:type="dxa" w:w="345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Sprint goal</w:t>
            </w:r>
          </w:p>
        </w:tc>
        <w:tc>
          <w:tcPr>
            <w:tcW w:type="dxa" w:w="1008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OOTB reporting library activated and configured, at least 10 scheduled reports configured for key stakeholders, and platform stabilization complete — all Sprints 1-5 configurations validated against go-live criteria</w:t>
            </w:r>
          </w:p>
        </w:tc>
      </w:tr>
      <w:tr>
        <w:tc>
          <w:tcPr>
            <w:tcW w:type="dxa" w:w="345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Customer participants</w:t>
            </w:r>
          </w:p>
        </w:tc>
        <w:tc>
          <w:tcPr>
            <w:tcW w:type="dxa" w:w="100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IT Director, Service Desk Manager, Change Manager, all process owners from prior sprints</w:t>
            </w:r>
          </w:p>
        </w:tc>
      </w:tr>
      <w:tr>
        <w:tc>
          <w:tcPr>
            <w:tcW w:type="dxa" w:w="345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Key artifacts produced</w:t>
            </w:r>
          </w:p>
        </w:tc>
        <w:tc>
          <w:tcPr>
            <w:tcW w:type="dxa" w:w="1008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Report catalog (configured), Scheduled report list (10+ reports, correct recipients), Go-live readiness checklist (signed), Hypercare plan, Admin training plan</w:t>
            </w:r>
          </w:p>
        </w:tc>
      </w:tr>
      <w:tr>
        <w:tc>
          <w:tcPr>
            <w:tcW w:type="dxa" w:w="345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Sprint dependency</w:t>
            </w:r>
          </w:p>
        </w:tc>
        <w:tc>
          <w:tcPr>
            <w:tcW w:type="dxa" w:w="100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Reporting Sprint requires all prior sprint configurations to be stable. No sprint 1-5 configuration changes should be in flight during Sprint 6 — changes create report validation failures.</w:t>
            </w:r>
          </w:p>
        </w:tc>
      </w:tr>
    </w:tbl>
    <w:p>
      <w:pPr>
        <w:spacing w:after="40"/>
      </w:pPr>
    </w:p>
    <w:p>
      <w:r>
        <w:br w:type="page"/>
      </w:r>
    </w:p>
    <w:p>
      <w:pPr>
        <w:pStyle w:val="Heading1"/>
      </w:pPr>
      <w:r>
        <w:t>2.  Workshop Agendas</w:t>
      </w:r>
    </w:p>
    <w:p>
      <w:pPr>
        <w:pStyle w:val="Heading2"/>
      </w:pPr>
      <w:r>
        <w:t>Workshop 1 — Report Scope and Scheduled Report Design (90 min)</w:t>
      </w:r>
    </w:p>
    <w:tbl>
      <w:tblPr>
        <w:tblW w:type="auto" w:w="0"/>
        <w:jc w:val="left"/>
        <w:tblLook w:firstColumn="1" w:firstRow="1" w:lastColumn="0" w:lastRow="0" w:noHBand="0" w:noVBand="1" w:val="04A0"/>
      </w:tblPr>
      <w:tblGrid>
        <w:gridCol w:w="3120"/>
        <w:gridCol w:w="3120"/>
        <w:gridCol w:w="3120"/>
      </w:tblGrid>
      <w:tr>
        <w:trPr>
          <w:tblHeader/>
        </w:trPr>
        <w:tc>
          <w:tcPr>
            <w:tcW w:type="dxa" w:w="144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Time</w:t>
            </w:r>
          </w:p>
        </w:tc>
        <w:tc>
          <w:tcPr>
            <w:tcW w:type="dxa" w:w="3744"/>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Agenda Item</w:t>
            </w:r>
          </w:p>
        </w:tc>
        <w:tc>
          <w:tcPr>
            <w:tcW w:type="dxa" w:w="8352"/>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Facilitation Notes</w:t>
            </w:r>
          </w:p>
        </w:tc>
      </w:tr>
      <w:tr>
        <w:tc>
          <w:tcPr>
            <w:tcW w:type="dxa" w:w="14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0:00–0:20</w:t>
            </w:r>
          </w:p>
        </w:tc>
        <w:tc>
          <w:tcPr>
            <w:tcW w:type="dxa" w:w="374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Report requirements gathering</w:t>
            </w:r>
          </w:p>
        </w:tc>
        <w:tc>
          <w:tcPr>
            <w:tcW w:type="dxa" w:w="835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Ask each process owner: what reports do you need available at go-live? For each: who receives it, how often, and what decision does it inform? This is a 48-hour pre-work assignment — come to Workshop 1 with a list.</w:t>
            </w:r>
          </w:p>
        </w:tc>
      </w:tr>
      <w:tr>
        <w:tc>
          <w:tcPr>
            <w:tcW w:type="dxa" w:w="144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0:20–0:50</w:t>
            </w:r>
          </w:p>
        </w:tc>
        <w:tc>
          <w:tcPr>
            <w:tcW w:type="dxa" w:w="374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OOTB report library review</w:t>
            </w:r>
          </w:p>
        </w:tc>
        <w:tc>
          <w:tcPr>
            <w:tcW w:type="dxa" w:w="835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Walk through the OOTB report catalog. For each requested report, identify the closest OOTB report. In most cases, the OOTB report covers the requirement with minor filter or grouping adjustments. Custom reports (new report definitions from scratch) are Phase 2.</w:t>
            </w:r>
          </w:p>
        </w:tc>
      </w:tr>
      <w:tr>
        <w:tc>
          <w:tcPr>
            <w:tcW w:type="dxa" w:w="14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0:50–1:10</w:t>
            </w:r>
          </w:p>
        </w:tc>
        <w:tc>
          <w:tcPr>
            <w:tcW w:type="dxa" w:w="374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Scheduled report configuration</w:t>
            </w:r>
          </w:p>
        </w:tc>
        <w:tc>
          <w:tcPr>
            <w:tcW w:type="dxa" w:w="835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Configure the 10 highest-priority scheduled reports: recipient list, frequency, delivery format (PDF, Excel, email). Confirm report outputs are correctly filtered to the recipient's scope.</w:t>
            </w:r>
          </w:p>
        </w:tc>
      </w:tr>
      <w:tr>
        <w:tc>
          <w:tcPr>
            <w:tcW w:type="dxa" w:w="144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1:10–1:25</w:t>
            </w:r>
          </w:p>
        </w:tc>
        <w:tc>
          <w:tcPr>
            <w:tcW w:type="dxa" w:w="374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Report governance</w:t>
            </w:r>
          </w:p>
        </w:tc>
        <w:tc>
          <w:tcPr>
            <w:tcW w:type="dxa" w:w="835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Establish who owns each report: who requests changes to the filter or schedule? What is the review process for adding new report recipients?</w:t>
            </w:r>
          </w:p>
        </w:tc>
      </w:tr>
      <w:tr>
        <w:tc>
          <w:tcPr>
            <w:tcW w:type="dxa" w:w="14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1:25–1:30</w:t>
            </w:r>
          </w:p>
        </w:tc>
        <w:tc>
          <w:tcPr>
            <w:tcW w:type="dxa" w:w="374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Next steps</w:t>
            </w:r>
          </w:p>
        </w:tc>
        <w:tc>
          <w:tcPr>
            <w:tcW w:type="dxa" w:w="835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ECS configures remaining reports. Customer process owners validate report output before Workshop 2.</w:t>
            </w:r>
          </w:p>
        </w:tc>
      </w:tr>
    </w:tbl>
    <w:p>
      <w:pPr>
        <w:spacing w:after="40"/>
      </w:pPr>
    </w:p>
    <w:p>
      <w:pPr>
        <w:pStyle w:val="Heading2"/>
      </w:pPr>
      <w:r>
        <w:t>Workshop 2 — Stabilization Review and Go-Live Readiness (90 min)</w:t>
      </w:r>
    </w:p>
    <w:tbl>
      <w:tblPr>
        <w:tblW w:type="auto" w:w="0"/>
        <w:jc w:val="left"/>
        <w:tblLook w:firstColumn="1" w:firstRow="1" w:lastColumn="0" w:lastRow="0" w:noHBand="0" w:noVBand="1" w:val="04A0"/>
      </w:tblPr>
      <w:tblGrid>
        <w:gridCol w:w="3120"/>
        <w:gridCol w:w="3120"/>
        <w:gridCol w:w="3120"/>
      </w:tblGrid>
      <w:tr>
        <w:trPr>
          <w:tblHeader/>
        </w:trPr>
        <w:tc>
          <w:tcPr>
            <w:tcW w:type="dxa" w:w="144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Time</w:t>
            </w:r>
          </w:p>
        </w:tc>
        <w:tc>
          <w:tcPr>
            <w:tcW w:type="dxa" w:w="3744"/>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Agenda Item</w:t>
            </w:r>
          </w:p>
        </w:tc>
        <w:tc>
          <w:tcPr>
            <w:tcW w:type="dxa" w:w="8352"/>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Facilitation Notes</w:t>
            </w:r>
          </w:p>
        </w:tc>
      </w:tr>
      <w:tr>
        <w:tc>
          <w:tcPr>
            <w:tcW w:type="dxa" w:w="14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0:00–0:30</w:t>
            </w:r>
          </w:p>
        </w:tc>
        <w:tc>
          <w:tcPr>
            <w:tcW w:type="dxa" w:w="374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Go-live readiness checklist</w:t>
            </w:r>
          </w:p>
        </w:tc>
        <w:tc>
          <w:tcPr>
            <w:tcW w:type="dxa" w:w="835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Walk through the go-live readiness checklist (CLT-CO-01) with all process owners. For each sprint: is the configuration stable? Have the UAT test scenarios passed? Are the key stakeholders trained?</w:t>
            </w:r>
          </w:p>
        </w:tc>
      </w:tr>
      <w:tr>
        <w:tc>
          <w:tcPr>
            <w:tcW w:type="dxa" w:w="144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0:30–0:50</w:t>
            </w:r>
          </w:p>
        </w:tc>
        <w:tc>
          <w:tcPr>
            <w:tcW w:type="dxa" w:w="374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Governed exceptions review</w:t>
            </w:r>
          </w:p>
        </w:tc>
        <w:tc>
          <w:tcPr>
            <w:tcW w:type="dxa" w:w="835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Review the Governance Triage Log. For each item: is it required for go-live (emergency — scope it now), or can it wait for Phase 2? Items that genuinely cannot wait must be scoped as change requests with time and effort estimates.</w:t>
            </w:r>
          </w:p>
        </w:tc>
      </w:tr>
      <w:tr>
        <w:tc>
          <w:tcPr>
            <w:tcW w:type="dxa" w:w="14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0:50–1:05</w:t>
            </w:r>
          </w:p>
        </w:tc>
        <w:tc>
          <w:tcPr>
            <w:tcW w:type="dxa" w:w="374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Hypercare plan review</w:t>
            </w:r>
          </w:p>
        </w:tc>
        <w:tc>
          <w:tcPr>
            <w:tcW w:type="dxa" w:w="835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Walk through the hypercare plan (CLT-CO-03): who is the ECS contact for hypercare support? What is the escalation path? What is the hypercare duration (typically 4 weeks)?</w:t>
            </w:r>
          </w:p>
        </w:tc>
      </w:tr>
      <w:tr>
        <w:tc>
          <w:tcPr>
            <w:tcW w:type="dxa" w:w="144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1:05–1:20</w:t>
            </w:r>
          </w:p>
        </w:tc>
        <w:tc>
          <w:tcPr>
            <w:tcW w:type="dxa" w:w="374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Admin training confirmation</w:t>
            </w:r>
          </w:p>
        </w:tc>
        <w:tc>
          <w:tcPr>
            <w:tcW w:type="dxa" w:w="835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Confirm the customer's admin team has been trained on: CMDB governance, catalog item maintenance, user provisioning, report modification. Reference the admin training plan in the Reporting Stabilization Accelerator Pack.</w:t>
            </w:r>
          </w:p>
        </w:tc>
      </w:tr>
      <w:tr>
        <w:tc>
          <w:tcPr>
            <w:tcW w:type="dxa" w:w="14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1:20–1:30</w:t>
            </w:r>
          </w:p>
        </w:tc>
        <w:tc>
          <w:tcPr>
            <w:tcW w:type="dxa" w:w="374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Go-live decision</w:t>
            </w:r>
          </w:p>
        </w:tc>
        <w:tc>
          <w:tcPr>
            <w:tcW w:type="dxa" w:w="835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Confirm the go-live date. Document any open items that are accepted risks (documented and signed off by the IT Director). No new scope items.</w:t>
            </w:r>
          </w:p>
        </w:tc>
      </w:tr>
    </w:tbl>
    <w:p>
      <w:pPr>
        <w:spacing w:after="40"/>
      </w:pPr>
    </w:p>
    <w:p>
      <w:r>
        <w:br w:type="page"/>
      </w:r>
    </w:p>
    <w:p>
      <w:pPr>
        <w:pStyle w:val="Heading1"/>
      </w:pPr>
      <w:r>
        <w:t>3.  Decision Pre-Fills — ECS Recommendations</w:t>
      </w:r>
    </w:p>
    <w:p>
      <w:pPr>
        <w:pStyle w:val="Heading2"/>
      </w:pPr>
      <w:r>
        <w:t>Decision 1 — Report Scope</w:t>
      </w:r>
    </w:p>
    <w:tbl>
      <w:tblPr>
        <w:tblW w:type="auto" w:w="0"/>
        <w:jc w:val="left"/>
        <w:tblLook w:firstColumn="1" w:firstRow="1" w:lastColumn="0" w:lastRow="0" w:noHBand="0" w:noVBand="1" w:val="04A0"/>
      </w:tblPr>
      <w:tblGrid>
        <w:gridCol w:w="2340"/>
        <w:gridCol w:w="2340"/>
        <w:gridCol w:w="2340"/>
        <w:gridCol w:w="2340"/>
      </w:tblGrid>
      <w:tr>
        <w:trPr>
          <w:tblHeader/>
        </w:trPr>
        <w:tc>
          <w:tcPr>
            <w:tcW w:type="dxa" w:w="3168"/>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ECS Recommendation</w:t>
            </w:r>
          </w:p>
        </w:tc>
        <w:tc>
          <w:tcPr>
            <w:tcW w:type="dxa" w:w="3168"/>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Rationale</w:t>
            </w:r>
          </w:p>
        </w:tc>
        <w:tc>
          <w:tcPr>
            <w:tcW w:type="dxa" w:w="288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Common Pushback</w:t>
            </w:r>
          </w:p>
        </w:tc>
        <w:tc>
          <w:tcPr>
            <w:tcW w:type="dxa" w:w="432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ECS Response</w:t>
            </w:r>
          </w:p>
        </w:tc>
      </w:tr>
      <w:tr>
        <w:tc>
          <w:tcPr>
            <w:tcW w:type="dxa" w:w="316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10 scheduled reports at go-live using OOTB report definitions. Custom report development is Phase 2.</w:t>
            </w:r>
          </w:p>
        </w:tc>
        <w:tc>
          <w:tcPr>
            <w:tcW w:type="dxa" w:w="316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10 OOTB reports covering the most common stakeholder needs are more valuable than 30 custom reports that require front-end developer maintenance.</w:t>
            </w:r>
          </w:p>
        </w:tc>
        <w:tc>
          <w:tcPr>
            <w:tcW w:type="dxa" w:w="28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'We need custom reports that match our existing reporting format exactly.'</w:t>
            </w:r>
          </w:p>
        </w:tc>
        <w:tc>
          <w:tcPr>
            <w:tcW w:type="dxa" w:w="432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'Custom report format matching requires development time that is outside Sprint 6 scope. OOTB reports export to Excel and PDF — stakeholders can apply their standard templates to the exported data. Custom format matching is a Phase 2 project if the business case justifies the maintenance cost.'</w:t>
            </w:r>
          </w:p>
        </w:tc>
      </w:tr>
    </w:tbl>
    <w:p>
      <w:pPr>
        <w:spacing w:after="40"/>
      </w:pPr>
    </w:p>
    <w:p>
      <w:r>
        <w:br w:type="page"/>
      </w:r>
    </w:p>
    <w:p>
      <w:pPr>
        <w:pStyle w:val="Heading1"/>
      </w:pPr>
      <w:r>
        <w:t>4.  Common Pitfalls</w:t>
      </w:r>
    </w:p>
    <w:p>
      <w:pPr>
        <w:pStyle w:val="Heading2"/>
      </w:pPr>
      <w:r>
        <w:t>Pitfall 1 — The Last-Minute Scope Bomb</w:t>
      </w:r>
    </w:p>
    <w:p>
      <w:pPr>
        <w:spacing w:after="160" w:before="0"/>
      </w:pPr>
      <w:r>
        <w:rPr>
          <w:rFonts w:ascii="Calibri" w:hAnsi="Calibri"/>
          <w:color w:val="1A1A1A"/>
          <w:sz w:val="22"/>
        </w:rPr>
        <w:t>A VP attends the final workshop and says 'we really need X before we go live' — where X is a major feature that was never discussed. This is the most common go-live risk. Prevention: run the INT-TBV-04 Sponsor Sync in Week 15 (before Workshop 2) to surface any executive concerns before the final readiness check. Surprises in Workshop 2 are almost always communication failures earlier in the engagement.</w:t>
      </w:r>
    </w:p>
    <w:p>
      <w:pPr>
        <w:pStyle w:val="Heading2"/>
      </w:pPr>
      <w:r>
        <w:t>Pitfall 2 — Stabilization Interrupted by New Configuration</w:t>
      </w:r>
    </w:p>
    <w:p>
      <w:pPr>
        <w:spacing w:after="160" w:before="0"/>
      </w:pPr>
      <w:r>
        <w:rPr>
          <w:rFonts w:ascii="Calibri" w:hAnsi="Calibri"/>
          <w:color w:val="1A1A1A"/>
          <w:sz w:val="22"/>
        </w:rPr>
        <w:t>The ECS SA is still making Sprint 4 CMDB changes during Sprint 6 Reporting. Report output is unstable because the underlying data is changing. Prevention: configuration freeze at the end of Sprint 5 Week 12. No new configuration in Sprint 6 except bug fixes and report configuration. Document this rule at the Sprint 5 retro.</w:t>
      </w:r>
    </w:p>
    <w:p>
      <w:pPr>
        <w:pStyle w:val="Heading1"/>
      </w:pPr>
      <w:r>
        <w:t>5.  Sprint Demo Discipline</w:t>
      </w:r>
    </w:p>
    <w:p>
      <w:pPr>
        <w:pStyle w:val="Heading2"/>
      </w:pPr>
      <w:r>
        <w:t>Pre-Demo Checklist</w:t>
      </w:r>
    </w:p>
    <w:tbl>
      <w:tblPr>
        <w:tblW w:type="auto" w:w="0"/>
        <w:jc w:val="left"/>
        <w:tblLook w:firstColumn="1" w:firstRow="1" w:lastColumn="0" w:lastRow="0" w:noHBand="0" w:noVBand="1" w:val="04A0"/>
      </w:tblPr>
      <w:tblGrid>
        <w:gridCol w:w="2340"/>
        <w:gridCol w:w="2340"/>
        <w:gridCol w:w="2340"/>
        <w:gridCol w:w="2340"/>
      </w:tblGrid>
      <w:tr>
        <w:trPr>
          <w:tblHeader/>
        </w:trPr>
        <w:tc>
          <w:tcPr>
            <w:tcW w:type="dxa" w:w="576"/>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w:t>
            </w:r>
          </w:p>
        </w:tc>
        <w:tc>
          <w:tcPr>
            <w:tcW w:type="dxa" w:w="8352"/>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Check</w:t>
            </w:r>
          </w:p>
        </w:tc>
        <w:tc>
          <w:tcPr>
            <w:tcW w:type="dxa" w:w="2016"/>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Owner</w:t>
            </w:r>
          </w:p>
        </w:tc>
        <w:tc>
          <w:tcPr>
            <w:tcW w:type="dxa" w:w="144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Status</w:t>
            </w:r>
          </w:p>
        </w:tc>
      </w:tr>
      <w:tr>
        <w:tc>
          <w:tcPr>
            <w:tcW w:type="dxa" w:w="57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1</w:t>
            </w:r>
          </w:p>
        </w:tc>
        <w:tc>
          <w:tcPr>
            <w:tcW w:type="dxa" w:w="835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10 scheduled reports configured and validated — correct data, correct recipients</w:t>
            </w:r>
          </w:p>
        </w:tc>
        <w:tc>
          <w:tcPr>
            <w:tcW w:type="dxa" w:w="201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ECS SA</w:t>
            </w:r>
          </w:p>
        </w:tc>
        <w:tc>
          <w:tcPr>
            <w:tcW w:type="dxa" w:w="14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w:t>
            </w:r>
          </w:p>
        </w:tc>
      </w:tr>
      <w:tr>
        <w:tc>
          <w:tcPr>
            <w:tcW w:type="dxa" w:w="57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2</w:t>
            </w:r>
          </w:p>
        </w:tc>
        <w:tc>
          <w:tcPr>
            <w:tcW w:type="dxa" w:w="835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Go-live readiness checklist signed by IT Director and all process owners</w:t>
            </w:r>
          </w:p>
        </w:tc>
        <w:tc>
          <w:tcPr>
            <w:tcW w:type="dxa" w:w="201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ECS Lead</w:t>
            </w:r>
          </w:p>
        </w:tc>
        <w:tc>
          <w:tcPr>
            <w:tcW w:type="dxa" w:w="144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w:t>
            </w:r>
          </w:p>
        </w:tc>
      </w:tr>
      <w:tr>
        <w:tc>
          <w:tcPr>
            <w:tcW w:type="dxa" w:w="57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3</w:t>
            </w:r>
          </w:p>
        </w:tc>
        <w:tc>
          <w:tcPr>
            <w:tcW w:type="dxa" w:w="835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Governance Triage Log reviewed — Phase 2 items documented, go-live blockers resolved</w:t>
            </w:r>
          </w:p>
        </w:tc>
        <w:tc>
          <w:tcPr>
            <w:tcW w:type="dxa" w:w="201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EM</w:t>
            </w:r>
          </w:p>
        </w:tc>
        <w:tc>
          <w:tcPr>
            <w:tcW w:type="dxa" w:w="14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w:t>
            </w:r>
          </w:p>
        </w:tc>
      </w:tr>
      <w:tr>
        <w:tc>
          <w:tcPr>
            <w:tcW w:type="dxa" w:w="57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4</w:t>
            </w:r>
          </w:p>
        </w:tc>
        <w:tc>
          <w:tcPr>
            <w:tcW w:type="dxa" w:w="835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Hypercare plan confirmed — ECS contacts, escalation path, duration</w:t>
            </w:r>
          </w:p>
        </w:tc>
        <w:tc>
          <w:tcPr>
            <w:tcW w:type="dxa" w:w="201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EM</w:t>
            </w:r>
          </w:p>
        </w:tc>
        <w:tc>
          <w:tcPr>
            <w:tcW w:type="dxa" w:w="144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w:t>
            </w:r>
          </w:p>
        </w:tc>
      </w:tr>
      <w:tr>
        <w:tc>
          <w:tcPr>
            <w:tcW w:type="dxa" w:w="57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5</w:t>
            </w:r>
          </w:p>
        </w:tc>
        <w:tc>
          <w:tcPr>
            <w:tcW w:type="dxa" w:w="835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Admin training completed — CMDB, catalog, user management, report modification</w:t>
            </w:r>
          </w:p>
        </w:tc>
        <w:tc>
          <w:tcPr>
            <w:tcW w:type="dxa" w:w="201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ECS Lead</w:t>
            </w:r>
          </w:p>
        </w:tc>
        <w:tc>
          <w:tcPr>
            <w:tcW w:type="dxa" w:w="14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w:t>
            </w:r>
          </w:p>
        </w:tc>
      </w:tr>
    </w:tbl>
    <w:p>
      <w:pPr>
        <w:spacing w:after="40"/>
      </w:pPr>
    </w:p>
    <w:p>
      <w:pPr>
        <w:pStyle w:val="Heading1"/>
      </w:pPr>
      <w:r>
        <w:t>6.  Sprint Retro Template</w:t>
      </w:r>
    </w:p>
    <w:tbl>
      <w:tblPr>
        <w:tblW w:type="auto" w:w="0"/>
        <w:jc w:val="left"/>
        <w:tblLook w:firstColumn="1" w:firstRow="1" w:lastColumn="0" w:lastRow="0" w:noHBand="0" w:noVBand="1" w:val="04A0"/>
      </w:tblPr>
      <w:tblGrid>
        <w:gridCol w:w="3120"/>
        <w:gridCol w:w="3120"/>
        <w:gridCol w:w="3120"/>
      </w:tblGrid>
      <w:tr>
        <w:trPr>
          <w:tblHeader/>
        </w:trPr>
        <w:tc>
          <w:tcPr>
            <w:tcW w:type="dxa" w:w="2304"/>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Category</w:t>
            </w:r>
          </w:p>
        </w:tc>
        <w:tc>
          <w:tcPr>
            <w:tcW w:type="dxa" w:w="576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Question</w:t>
            </w:r>
          </w:p>
        </w:tc>
        <w:tc>
          <w:tcPr>
            <w:tcW w:type="dxa" w:w="5472"/>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Capture Here</w:t>
            </w:r>
          </w:p>
        </w:tc>
      </w:tr>
      <w:tr>
        <w:tc>
          <w:tcPr>
            <w:tcW w:type="dxa" w:w="230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What worked</w:t>
            </w:r>
          </w:p>
        </w:tc>
        <w:tc>
          <w:tcPr>
            <w:tcW w:type="dxa" w:w="576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What went smoothest in the stabilization review?</w:t>
            </w:r>
          </w:p>
        </w:tc>
        <w:tc>
          <w:tcPr>
            <w:tcW w:type="dxa" w:w="547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r>
          </w:p>
        </w:tc>
      </w:tr>
      <w:tr>
        <w:tc>
          <w:tcPr>
            <w:tcW w:type="dxa" w:w="230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What didn't work</w:t>
            </w:r>
          </w:p>
        </w:tc>
        <w:tc>
          <w:tcPr>
            <w:tcW w:type="dxa" w:w="576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Which process areas had the most open items at go-live?</w:t>
            </w:r>
          </w:p>
        </w:tc>
        <w:tc>
          <w:tcPr>
            <w:tcW w:type="dxa" w:w="547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r>
          </w:p>
        </w:tc>
      </w:tr>
      <w:tr>
        <w:tc>
          <w:tcPr>
            <w:tcW w:type="dxa" w:w="230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Governed exceptions</w:t>
            </w:r>
          </w:p>
        </w:tc>
        <w:tc>
          <w:tcPr>
            <w:tcW w:type="dxa" w:w="576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How many items are in the Phase 2 backlog?</w:t>
            </w:r>
          </w:p>
        </w:tc>
        <w:tc>
          <w:tcPr>
            <w:tcW w:type="dxa" w:w="547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r>
          </w:p>
        </w:tc>
      </w:tr>
      <w:tr>
        <w:tc>
          <w:tcPr>
            <w:tcW w:type="dxa" w:w="230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Hypercare readiness</w:t>
            </w:r>
          </w:p>
        </w:tc>
        <w:tc>
          <w:tcPr>
            <w:tcW w:type="dxa" w:w="576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Is the customer admin team ready to operate the platform independently?</w:t>
            </w:r>
          </w:p>
        </w:tc>
        <w:tc>
          <w:tcPr>
            <w:tcW w:type="dxa" w:w="547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r>
          </w:p>
        </w:tc>
      </w:tr>
      <w:tr>
        <w:tc>
          <w:tcPr>
            <w:tcW w:type="dxa" w:w="230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Engagement learning</w:t>
            </w:r>
          </w:p>
        </w:tc>
        <w:tc>
          <w:tcPr>
            <w:tcW w:type="dxa" w:w="576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What would we do differently across the full 18-week engagement?</w:t>
            </w:r>
          </w:p>
        </w:tc>
        <w:tc>
          <w:tcPr>
            <w:tcW w:type="dxa" w:w="547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r>
          </w:p>
        </w:tc>
      </w:tr>
    </w:tbl>
    <w:p>
      <w:pPr>
        <w:spacing w:after="40"/>
      </w:pPr>
    </w:p>
    <w:sectPr w:rsidR="00FC693F" w:rsidRPr="0006063C" w:rsidSect="00034616">
      <w:headerReference w:type="default" r:id="rId9"/>
      <w:footerReference w:type="default" r:id="rId10"/>
      <w:pgSz w:w="12240" w:h="15840"/>
      <w:pgMar w:top="1152" w:right="1440" w:bottom="1152" w:left="1440" w:header="504"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right" w:pos="9360"/>
      </w:tabs>
    </w:pPr>
    <w:r>
      <w:rPr>
        <w:rFonts w:ascii="Calibri" w:hAnsi="Calibri"/>
        <w:color w:val="475569"/>
        <w:sz w:val="16"/>
      </w:rPr>
      <w:t>ECS Federal · ServiceNow Practice  ·  Internal Use Only</w:t>
    </w:r>
    <w:r>
      <w:tab/>
    </w:r>
    <w:r>
      <w:rPr>
        <w:rFonts w:ascii="Calibri" w:hAnsi="Calibri"/>
        <w:color w:val="475569"/>
        <w:sz w:val="16"/>
      </w:rPr>
      <w:t xml:space="preserve">Page </w:t>
    </w:r>
    <w:r>
      <w:rPr>
        <w:rFonts w:ascii="Calibri" w:hAnsi="Calibri"/>
        <w:color w:val="475569"/>
        <w:sz w:val="16"/>
      </w:rPr>
      <w:fldChar w:fldCharType="begin"/>
      <w:instrText>PAGE</w:instrText>
      <w:fldChar w:fldCharType="separate"/>
      <w:fldChar w:fldCharType="end"/>
    </w:r>
    <w:r>
      <w:rPr>
        <w:rFonts w:ascii="Calibri" w:hAnsi="Calibri"/>
        <w:color w:val="475569"/>
        <w:sz w:val="16"/>
      </w:rPr>
      <w:t xml:space="preserve"> of </w:t>
    </w:r>
    <w:r>
      <w:rPr>
        <w:rFonts w:ascii="Calibri" w:hAnsi="Calibri"/>
        <w:color w:val="475569"/>
        <w:sz w:val="16"/>
      </w:rPr>
      <w:fldChar w:fldCharType="begin"/>
      <w:instrText>NUMPAGES</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color="14B8A6" w:sz="8" w:space="1"/>
      </w:pBdr>
      <w:tabs>
        <w:tab w:val="right" w:pos="9360"/>
      </w:tabs>
    </w:pPr>
    <w:r>
      <w:drawing>
        <wp:inline xmlns:a="http://schemas.openxmlformats.org/drawingml/2006/main" xmlns:pic="http://schemas.openxmlformats.org/drawingml/2006/picture">
          <wp:extent cx="960120" cy="178932"/>
          <wp:docPr id="1" name="Picture 1"/>
          <wp:cNvGraphicFramePr>
            <a:graphicFrameLocks noChangeAspect="1"/>
          </wp:cNvGraphicFramePr>
          <a:graphic>
            <a:graphicData uri="http://schemas.openxmlformats.org/drawingml/2006/picture">
              <pic:pic>
                <pic:nvPicPr>
                  <pic:cNvPr id="0" name="everforth_logo.png"/>
                  <pic:cNvPicPr/>
                </pic:nvPicPr>
                <pic:blipFill>
                  <a:blip r:embed="rId1"/>
                  <a:stretch>
                    <a:fillRect/>
                  </a:stretch>
                </pic:blipFill>
                <pic:spPr>
                  <a:xfrm>
                    <a:off x="0" y="0"/>
                    <a:ext cx="960120" cy="178932"/>
                  </a:xfrm>
                  <a:prstGeom prst="rect"/>
                </pic:spPr>
              </pic:pic>
            </a:graphicData>
          </a:graphic>
        </wp:inline>
      </w:drawing>
    </w:r>
    <w:r>
      <w:tab/>
    </w:r>
    <w:r>
      <w:rPr>
        <w:rFonts w:ascii="Calibri" w:hAnsi="Calibri"/>
        <w:color w:val="475569"/>
        <w:spacing w:val="30"/>
        <w:sz w:val="18"/>
      </w:rPr>
      <w:t>Internal · INT-FG-15 Facilitator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cs="Calibri" w:eastAsia="Calibri"/>
      <w:b/>
      <w:bCs/>
      <w:color w:val="0B1F3A"/>
      <w:sz w:val="32"/>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Calibri" w:hAnsi="Calibri" w:cs="Calibri" w:eastAsia="Calibri"/>
      <w:b/>
      <w:bCs/>
      <w:color w:val="0B1F3A"/>
      <w:sz w:val="26"/>
      <w:szCs w:val="26"/>
    </w:rPr>
  </w:style>
  <w:style w:type="paragraph" w:styleId="Heading3">
    <w:name w:val="heading 3"/>
    <w:basedOn w:val="Normal"/>
    <w:next w:val="Normal"/>
    <w:link w:val="Heading3Char"/>
    <w:uiPriority w:val="9"/>
    <w:unhideWhenUsed/>
    <w:qFormat/>
    <w:rsid w:val="00FC693F"/>
    <w:pPr>
      <w:keepNext/>
      <w:keepLines/>
      <w:spacing w:before="200" w:after="40"/>
      <w:outlineLvl w:val="2"/>
    </w:pPr>
    <w:rPr>
      <w:rFonts w:asciiTheme="majorHAnsi" w:eastAsiaTheme="majorEastAsia" w:hAnsiTheme="majorHAnsi" w:cstheme="majorBidi" w:ascii="Calibri" w:hAnsi="Calibri" w:cs="Calibri" w:eastAsia="Calibri"/>
      <w:b/>
      <w:bCs/>
      <w:color w:val="2E74B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Calibri" w:hAnsi="Calibri" w:cs="Calibri" w:eastAsia="Calibri"/>
      <w:b/>
      <w:color w:val="0B1F3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