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CMDB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CMDB</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INT-FG-09 Sprint 2 CMDB Facilitator Guide · CMDB/CSDM Accelerator Pack</w:t>
      </w:r>
    </w:p>
    <w:p>
      <w:pPr>
        <w:spacing w:after="80"/>
      </w:pPr>
      <w:r>
        <w:rPr>
          <w:rFonts w:ascii="Calibri" w:hAnsi="Calibri"/>
          <w:b w:val="0"/>
          <w:i w:val="0"/>
          <w:color w:val="475569"/>
          <w:sz w:val="20"/>
        </w:rPr>
        <w:t>Document ID: INT-HT-13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CMDB is the data foundation that makes Incident impact analysis, Change risk scoring, and Now Assist context-aware. The consultant must configure the CMDB governance model before CI data is populated — otherwise, data quality problems compound at scale.</w:t>
      </w:r>
    </w:p>
    <w:p>
      <w:r>
        <w:br w:type="page"/>
      </w:r>
    </w:p>
    <w:p>
      <w:pPr>
        <w:pStyle w:val="Heading1"/>
      </w:pPr>
      <w:r>
        <w:t>1.  OOTB Capabilities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Class Hierarchy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hierarchical CI class model: cmdb_ci at the root, with specialized subclasses for Server, Network, Application, End User, Cloud, etc. 200+ OOTB CI classes.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Attributes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attribute sets per CI class: Server has OS version, CPU, RAM, IP; Network Device has IOS version, ports, VLANs. Attribute sets are configurable without custom tables.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IRE (Identification and Reconciliation Engine)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deduplication engine: matches incoming CI data (from Discovery and connectors) against existing CI records using configurable identification rules. Prevents CI sprawl.</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Relationships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relationship types: Runs On, Hosted On, Depends On, Connects To, Virtualizes. CI relationships build the service dependency map.</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Health Dashboard</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health scoring: CI completeness score, stale CI count (not updated by Discovery in X days), orphaned CI count (no relationships), duplicate CI count.</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Groups</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Logical groupings of CIs for reporting and governance (e.g., 'Production Servers', 'Network Infrastructure'). Used in Change risk calculation.</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4)</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class model configured. IRE rules for top 3 classes. Initial CI population via Discovery (INT-FG-10). CMDB Health dashboard baseline.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Full CI estate via Discovery and SGC connectors. CI completeness score targets. Application Service instances in CSDM.</w:t>
            </w:r>
          </w:p>
        </w:tc>
      </w:tr>
    </w:tbl>
    <w:p>
      <w:pPr>
        <w:spacing w:after="40"/>
      </w:pPr>
    </w:p>
    <w:p>
      <w:r>
        <w:br w:type="page"/>
      </w:r>
    </w:p>
    <w:p>
      <w:pPr>
        <w:pStyle w:val="Heading1"/>
      </w:pPr>
      <w:r>
        <w:t>3.  OOTB Defense Language</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a custom CI class for our mainframe.'</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Check the OOTB CI class hierarchy first. Most 'missing' CI classes exist as OOTB classes that are not displayed by default. If the class genuinely doesn't exist, ServiceNow supports CI class extension — but the extension requires a Discovery pattern to populate it, which is custom development.</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'Analysts should be able to create CI records.'</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Analyst-created CI records produce uncontrolled CI sprawl within 60 days. CI creation rights should be restricted to the CMDB Admin role and automated sources (Discovery, connectors). Analysts who need to reference a CI should look it up, not create it.</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to keep our existing asset tracking system in sync.'</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is the system of record for infrastructure. Asset tracking sync is a ServiceNow Integration Hub flow — not a CMDB customization. The flow syncs the external system to the CMDB, not the other way around.</w:t>
            </w:r>
          </w:p>
        </w:tc>
      </w:tr>
    </w:tbl>
    <w:p>
      <w:pPr>
        <w:spacing w:after="40"/>
      </w:pPr>
    </w:p>
    <w:p>
      <w:r>
        <w:br w:type="page"/>
      </w:r>
    </w:p>
    <w:p>
      <w:pPr>
        <w:pStyle w:val="Heading1"/>
      </w:pPr>
      <w:r>
        <w:t>4.  Demo Flow</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CI Record (2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a discovered CI record. Show key attributes: hostname, IP, OS, location, assigned to, relationships.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CI Relationships (3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Show the CI relationship map. Navigate the Depends On chain from a Server to its Application Service to its Business Service.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CMDB Health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the CMDB Health dashboard. Show CI completeness score, stale CI list, and duplicate CI list.</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IRE Demo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Import a CI that matches an existing CI record. Show IRE deduplication: the import updates the existing record instead of creating a duplicate.</w:t>
            </w:r>
          </w:p>
        </w:tc>
      </w:tr>
    </w:tbl>
    <w:p>
      <w:pPr>
        <w:spacing w:after="40"/>
      </w:pPr>
    </w:p>
    <w:p>
      <w:r>
        <w:br w:type="page"/>
      </w:r>
    </w:p>
    <w:p>
      <w:pPr>
        <w:pStyle w:val="Heading1"/>
      </w:pPr>
      <w:r>
        <w:t>5.  UAT Scenarios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 Attribute Completeness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top 3 CI classes have key attributes populated for ≥ 90% of CI records.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IRE Deduplication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Import 10 CI records that match existing CI records by the deduplication key. Confirm no duplicate records are created.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Relationship Integrity</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For 5 CI records, confirm at least one relationship is defined and navigable.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Health Baseline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CMDB Health dashboard shows a completeness score ≥ 70% for the top 3 CI classes after initial Discovery run.</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Admin Role Restriction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an itil-role user cannot create a CI record. Confirm a CMDB Admin role user can create a CI record.</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INT-HT-13 CMDB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