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DISCIPLINE HOW-TO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Change Management How-To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Consultant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capabilities, two-phase approach, defense language, demo flow, and UAT scenarios for Change Management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INT-FG-07 Sprint 4 Change Facilitator Guide · ITSM Accelerator Pack (AP-02)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INT-HT-05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Change Management is the ITIL process where customers most often have strong, compliance-driven opinions about workflow design. The OOTB Change workflow is fully ITIL-compliant. The consultant must be able to demonstrate that OOTB Change — with Standard, Normal, and Emergency types, CAB workflow, and risk scoring — satisfies the customer's audit requirements without customization.</w:t>
      </w:r>
    </w:p>
    <w:p>
      <w:r>
        <w:br w:type="page"/>
      </w:r>
    </w:p>
    <w:p>
      <w:pPr>
        <w:pStyle w:val="Heading1"/>
      </w:pPr>
      <w:r>
        <w:t>1.  OOTB Capabilities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Standard Change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Pre-approved, documented, low-risk change type. Auto-approval on submission — no CAB review. Template-driven with rollback plan required.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Normal Change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 CAB workflow: submission → risk assessment → CAB agenda → approval → implementation → post-implementation review.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Emergency Change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Abbreviated approval: Change Manager approval only. Post-implementation CAB review required. Reserved for production-impacting issues requiring immediate action.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CAB Workbench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CAB workbench: automated CAB agenda population, digital approval capture, meeting notes, and decision record. No meeting required if CAB members approve digitally.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Risk and Impact Scoring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automated risk scoring based on: change type, CI criticality (CMDB), implementation plan completeness, change history. Score drives CAB requirement decision.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Schedule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maintenance windows and blackout windows. Change submission blocked during blackout periods unless Emergency type.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Post-Implementation Review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PIR task auto-created on Normal and Emergency change closure. Captures: implemented as planned (Y/N), issues encountered, rollback invoked (Y/N).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Two-Phase Approach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(Sprint 4)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Three change types configured. 5+ Standard change templates. CAB workflow active. Change schedule and blackout windows configured.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(Sprint 6)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CI risk scoring integrated — changes to high-criticality CIs auto-escalate risk level. Advanced analytics via Performance Analytics.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OOTB Defense Language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Customization Request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Response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a custom change type for Routine/Expedited/Minor changes.'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change scenarios map to Standard, Normal, or Emergency. Sub-type granularity is achieved via change templates and risk scoring within Normal. Custom change types require separate workflow configuration for each type — multiplying maintenance cost.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'CAB should see all changes, including Standard.'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If CAB reviews Standard changes, Standard changes provide no efficiency gain. The value of Standard change is CAB bypass for pre-approved, low-risk work. If the compliance requirement is auditability, the Standard change record provides a full audit trail without CAB review.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'Our change freeze periods need to block all system access.'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freeze periods are schedule-based blackout windows in the OOTB change schedule. Submitting a change during a blackout returns a validation error. The blackout does not block system access — it blocks change submission. System access control is a security configuration outside ServiceNow's scope.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Demo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Show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1 — Standard Change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a test change using a configured Standard change template. Show the auto-approval. Show the change record with full audit trail.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2 — Normal Change through CAB (5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a Normal change. Show it appearing on the CAB workbench agenda. Approve it digitally. Show the change state updating to Approved.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3 — Emergency Change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an Emergency change. Show the abbreviated approval (Change Manager only). Show the post-implementation CAB review task auto-created.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4 — Blackout Window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Attempt to submit a Normal change during a configured blackout window. Show the validation error. Submit an Emergency change in the same window — show it succeeds.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 UAT Scenarios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 Steps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Standard Change Template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a test change using each Standard change template. Confirm auto-approval triggers. Confirm PIR task is not created (Standard changes do not require PIR unless configured).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Normal Change CAB Workflow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a Normal change. Confirm it appears on the CAB agenda. Approve via CAB workbench. Confirm the state changes to Approved.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Emergency Change Bypass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an Emergency change during a blackout window. Confirm it is not blocked. Confirm post-implementation CAB review task is created on closure.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Risk Score Calculation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changes with varying impact/urgency. Confirm the risk score reflects the correct calculation for each combination.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Blackout Window Enforcement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Attempt to submit a Normal change during a blackout window. Confirm the submission is blocked with an appropriate validation message.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INT-HT-05 Change Management How-To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