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DISCIPLINE HOW-TO GUIDE</w:t>
      </w:r>
    </w:p>
    <w:p>
      <w:pPr>
        <w:spacing w:before="0" w:after="40"/>
      </w:pPr>
      <w:r>
        <w:rPr>
          <w:rFonts w:ascii="Calibri" w:hAnsi="Calibri"/>
          <w:b/>
          <w:color w:val="0B1F3A"/>
          <w:sz w:val="56"/>
        </w:rPr>
        <w:t>Knowledge Management How-To</w:t>
      </w:r>
    </w:p>
    <w:p>
      <w:pPr>
        <w:spacing w:before="0" w:after="40"/>
      </w:pPr>
      <w:r>
        <w:rPr>
          <w:rFonts w:ascii="Calibri" w:hAnsi="Calibri"/>
          <w:b/>
          <w:color w:val="0B1F3A"/>
          <w:sz w:val="56"/>
        </w:rPr>
        <w:t>Consultant Guide</w:t>
      </w:r>
    </w:p>
    <w:p>
      <w:pPr>
        <w:spacing w:before="120" w:after="400"/>
      </w:pPr>
      <w:r>
        <w:rPr>
          <w:rFonts w:ascii="Calibri" w:hAnsi="Calibri"/>
          <w:i/>
          <w:color w:val="0D9488"/>
          <w:sz w:val="24"/>
        </w:rPr>
        <w:t>OOTB capabilities, two-phase approach, defense language, demo flow, and UAT scenarios for Knowledge Management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INT-FG-05 Sprint 5 Knowledge Facilitator Guide · Knowledge Accelerator Pack (AP-13)</w:t>
      </w:r>
    </w:p>
    <w:p>
      <w:pPr>
        <w:spacing w:after="80"/>
      </w:pPr>
      <w:r>
        <w:rPr>
          <w:rFonts w:ascii="Calibri" w:hAnsi="Calibri"/>
          <w:b w:val="0"/>
          <w:i w:val="0"/>
          <w:color w:val="475569"/>
          <w:sz w:val="20"/>
        </w:rPr>
        <w:t>Document ID: INT-HT-07     ·     Version: 1.0     ·     Status: Released</w:t>
      </w:r>
    </w:p>
    <w:p>
      <w:pPr>
        <w:spacing w:after="280"/>
      </w:pPr>
      <w:r>
        <w:rPr>
          <w:rFonts w:ascii="Calibri" w:hAnsi="Calibri"/>
          <w:b w:val="0"/>
          <w:i/>
          <w:color w:val="475569"/>
          <w:sz w:val="20"/>
        </w:rPr>
        <w:t>Internal Use Only · Confidential</w:t>
      </w:r>
    </w:p>
    <w:p>
      <w:r>
        <w:br w:type="page"/>
      </w:r>
    </w:p>
    <w:p>
      <w:pPr>
        <w:pStyle w:val="Heading1"/>
      </w:pPr>
      <w:r>
        <w:t>Purpose</w:t>
      </w:r>
    </w:p>
    <w:p>
      <w:pPr>
        <w:spacing w:after="160" w:before="0"/>
      </w:pPr>
      <w:r>
        <w:rPr>
          <w:rFonts w:ascii="Calibri" w:hAnsi="Calibri"/>
          <w:color w:val="1A1A1A"/>
          <w:sz w:val="22"/>
        </w:rPr>
        <w:t>Knowledge Management is the discipline that most directly enables AI realization. Now Assist GenAI search, Virtual Agent deflection, and Predictive Intelligence recommendations all depend on a well-structured, current knowledge base. The consultant must configure the KB in Sprint 3 with the AI use cases explicitly in mind — every article published is an AI training input.</w:t>
      </w:r>
    </w:p>
    <w:p>
      <w:r>
        <w:br w:type="page"/>
      </w:r>
    </w:p>
    <w:p>
      <w:pPr>
        <w:pStyle w:val="Heading1"/>
      </w:pPr>
      <w:r>
        <w:t>1.  OOTB Capabilities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Category Structure</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Hierarchical knowledge base categories aligned to Incident Management taxonomy. Authors create articles in the appropriate category for analyst discoverability.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Lifecycle</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Draft → In Review → Published → Retired. Reviewer role required for publish. Validity date triggers expiry review.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Templates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Multiple OOTB templates: How-To (step-by-step), FAQ (question/answer), Policy (reference), Error Code (known error). Each template enforces consistent structure.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Feedback and Flagging</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article rating (thumbs up/down), flag for review, and comment. Feedback drives article quality improvement.</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Analytics</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reports: most-viewed articles, zero-result searches, flag count by article, author productivity.</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 Integration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Articles indexed for Now Assist GenAI search when 'Index for search' flag is enabled. Virtual Agent topic links resolve to KB articles. Predictive Intelligence uses KB to suggest solutions during Incident resolution.</w:t>
            </w:r>
          </w:p>
        </w:tc>
      </w:tr>
    </w:tbl>
    <w:p>
      <w:pPr>
        <w:spacing w:after="40"/>
      </w:pPr>
    </w:p>
    <w:p>
      <w:r>
        <w:br w:type="page"/>
      </w:r>
    </w:p>
    <w:p>
      <w:pPr>
        <w:pStyle w:val="Heading1"/>
      </w:pPr>
      <w:r>
        <w:t>2.  Two-Phase Approach</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Phase</w:t>
            </w:r>
          </w:p>
        </w:tc>
        <w:tc>
          <w:tcPr>
            <w:tcW w:type="dxa" w:w="106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Deliverable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Phase 1 (Sprint 3)</w:t>
            </w:r>
          </w:p>
        </w:tc>
        <w:tc>
          <w:tcPr>
            <w:tcW w:type="dxa" w:w="106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KB category structure configured. 50+ articles published (migrated from existing sources). Article workflow active. EC Pro search integrated.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Phase 2 (Sprint 6)</w:t>
            </w:r>
          </w:p>
        </w:tc>
        <w:tc>
          <w:tcPr>
            <w:tcW w:type="dxa" w:w="106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GenAI search enabled (requires AI search license). Full KB indexed. VA topic links reviewed and updated. KB analytics reviewed monthly.</w:t>
            </w:r>
          </w:p>
        </w:tc>
      </w:tr>
    </w:tbl>
    <w:p>
      <w:pPr>
        <w:spacing w:after="40"/>
      </w:pPr>
    </w:p>
    <w:p>
      <w:r>
        <w:br w:type="page"/>
      </w:r>
    </w:p>
    <w:p>
      <w:pPr>
        <w:pStyle w:val="Heading1"/>
      </w:pPr>
      <w:r>
        <w:t>3.  OOTB Defense Language</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Customization Request</w:t>
            </w:r>
          </w:p>
        </w:tc>
        <w:tc>
          <w:tcPr>
            <w:tcW w:type="dxa" w:w="89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Response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can't move our knowledge base from SharePoint — people are used to it.'</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are not removing SharePoint. We are making knowledge available inside the workflow where incidents are resolved. When an analyst is resolving a Hardware/Laptop incident, the Related Knowledge widget in the Incident record surfaces the top 5 KB articles for that category without the analyst opening a browser tab. SharePoint remains for document management. ServiceNow KB handles resolution knowledge.</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'Anyone should be able to publish articles immediately.'</w:t>
            </w:r>
          </w:p>
        </w:tc>
        <w:tc>
          <w:tcPr>
            <w:tcW w:type="dxa" w:w="89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Unreviewed articles degrade AI feature quality. Now Assist uses KB content for GenAI responses — low-quality articles produce low-quality AI answers. A 24-hour review window is a quality gate, not a bureaucratic obstacle.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need the KB to be publicly accessible.'</w:t>
            </w:r>
          </w:p>
        </w:tc>
        <w:tc>
          <w:tcPr>
            <w:tcW w:type="dxa" w:w="89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KB supports public (external), internal (all employees), and role-restricted access per article. Public-facing KB articles are a configuration option in the KB block configuration — no custom development needed.</w:t>
            </w:r>
          </w:p>
        </w:tc>
      </w:tr>
    </w:tbl>
    <w:p>
      <w:pPr>
        <w:spacing w:after="40"/>
      </w:pPr>
    </w:p>
    <w:p>
      <w:r>
        <w:br w:type="page"/>
      </w:r>
    </w:p>
    <w:p>
      <w:pPr>
        <w:pStyle w:val="Heading1"/>
      </w:pPr>
      <w:r>
        <w:t>4.  Demo Flow</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Act</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to Show</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1 — KB Category Browse (2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Open the KB from EC Pro. Navigate the category hierarchy. Show an article with proper structure: title, symptom, cause, resolution, related articles.</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2 — Related Knowledge in Incident (3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a test Incident. Show the Related Knowledge widget surfacing articles matching the Incident category. Click through to an article — show the read count incrementing.</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Act 3 — EC Pro Search (3 min)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 for a technical term in EC Pro. Show both catalog items and KB articles appearing in results. Demonstrate search relevance.</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Act 4 — Article Lifecycle (2 min)</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a draft article. Submit for review. Publish. Show the article appearing in search results immediately after publish.</w:t>
            </w:r>
          </w:p>
        </w:tc>
      </w:tr>
    </w:tbl>
    <w:p>
      <w:pPr>
        <w:spacing w:after="40"/>
      </w:pPr>
    </w:p>
    <w:p>
      <w:r>
        <w:br w:type="page"/>
      </w:r>
    </w:p>
    <w:p>
      <w:pPr>
        <w:pStyle w:val="Heading1"/>
      </w:pPr>
      <w:r>
        <w:t>5.  UAT Scenarios</w:t>
      </w:r>
    </w:p>
    <w:tbl>
      <w:tblPr>
        <w:tblW w:type="auto" w:w="0"/>
        <w:jc w:val="left"/>
        <w:tblLook w:firstColumn="1" w:firstRow="1" w:lastColumn="0" w:lastRow="0" w:noHBand="0" w:noVBand="1" w:val="04A0"/>
      </w:tblPr>
      <w:tblGrid>
        <w:gridCol w:w="4680"/>
        <w:gridCol w:w="4680"/>
      </w:tblGrid>
      <w:tr>
        <w:trPr>
          <w:tblHeader/>
        </w:trPr>
        <w:tc>
          <w:tcPr>
            <w:tcW w:type="dxa" w:w="374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Scenario</w:t>
            </w:r>
          </w:p>
        </w:tc>
        <w:tc>
          <w:tcPr>
            <w:tcW w:type="dxa" w:w="97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Test Steps</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Publication</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a draft article, submit for review, approve and publish. Confirm the article appears in EC Pro search within 5 minutes of publication.</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Category-to-Incident Alignment</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Create Incidents in 5 different categories. Open each Incident — confirm the Related Knowledge widget surfaces at least one article for each category.</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Feedback Mechanism</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Rate an article using thumbs up/down. Confirm the rating is recorded. Flag an article for review — confirm the flag appears in the Knowledge Manager dashboard.</w:t>
            </w:r>
          </w:p>
        </w:tc>
      </w:tr>
      <w:tr>
        <w:tc>
          <w:tcPr>
            <w:tcW w:type="dxa" w:w="374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Expiry</w:t>
            </w:r>
          </w:p>
        </w:tc>
        <w:tc>
          <w:tcPr>
            <w:tcW w:type="dxa" w:w="97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Set a validity date on a test article. Advance the system date past the validity date. Confirm the article is flagged for review in the Knowledge Manager dashboard.</w:t>
            </w:r>
          </w:p>
        </w:tc>
      </w:tr>
      <w:tr>
        <w:tc>
          <w:tcPr>
            <w:tcW w:type="dxa" w:w="374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Search Indexing</w:t>
            </w:r>
          </w:p>
        </w:tc>
        <w:tc>
          <w:tcPr>
            <w:tcW w:type="dxa" w:w="97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Publish an article with 'Index for search' enabled. Confirm it appears in AI-powered search results within the expected indexing window.</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INT-HT-07 Knowledge Management How-To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