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INTERNAL · DISCIPLINE HOW-TO GUIDE</w:t>
      </w:r>
    </w:p>
    <w:p>
      <w:pPr>
        <w:spacing w:before="0" w:after="40"/>
      </w:pPr>
      <w:r>
        <w:rPr>
          <w:rFonts w:ascii="Calibri" w:hAnsi="Calibri"/>
          <w:b/>
          <w:color w:val="0B1F3A"/>
          <w:sz w:val="56"/>
        </w:rPr>
        <w:t>Now Assist / GenAI How-To</w:t>
      </w:r>
    </w:p>
    <w:p>
      <w:pPr>
        <w:spacing w:before="0" w:after="40"/>
      </w:pPr>
      <w:r>
        <w:rPr>
          <w:rFonts w:ascii="Calibri" w:hAnsi="Calibri"/>
          <w:b/>
          <w:color w:val="0B1F3A"/>
          <w:sz w:val="56"/>
        </w:rPr>
        <w:t>Consultant Guide</w:t>
      </w:r>
    </w:p>
    <w:p>
      <w:pPr>
        <w:spacing w:before="120" w:after="400"/>
      </w:pPr>
      <w:r>
        <w:rPr>
          <w:rFonts w:ascii="Calibri" w:hAnsi="Calibri"/>
          <w:i/>
          <w:color w:val="0D9488"/>
          <w:sz w:val="24"/>
        </w:rPr>
        <w:t>OOTB capabilities, two-phase approach, defense language, demo flow, and UAT scenarios for Now Assist GenAI features</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ECS Lead Consultant, Solution Architect</w:t>
      </w:r>
    </w:p>
    <w:p>
      <w:pPr>
        <w:spacing w:after="40"/>
      </w:pPr>
      <w:r>
        <w:rPr>
          <w:rFonts w:ascii="Calibri" w:hAnsi="Calibri"/>
          <w:b w:val="0"/>
          <w:i w:val="0"/>
          <w:color w:val="475569"/>
          <w:sz w:val="20"/>
        </w:rPr>
        <w:t>Companion to: INT-FG-15 Sprint 6 Facilitator Guide · Now Assist Accelerator Pack (AP-18) · CLT-WP-11 Now Assist Pre-Read</w:t>
      </w:r>
    </w:p>
    <w:p>
      <w:pPr>
        <w:spacing w:after="80"/>
      </w:pPr>
      <w:r>
        <w:rPr>
          <w:rFonts w:ascii="Calibri" w:hAnsi="Calibri"/>
          <w:b w:val="0"/>
          <w:i w:val="0"/>
          <w:color w:val="475569"/>
          <w:sz w:val="20"/>
        </w:rPr>
        <w:t>Document ID: INT-HT-11     ·     Version: 1.0     ·     Status: Released</w:t>
      </w:r>
    </w:p>
    <w:p>
      <w:pPr>
        <w:spacing w:after="280"/>
      </w:pPr>
      <w:r>
        <w:rPr>
          <w:rFonts w:ascii="Calibri" w:hAnsi="Calibri"/>
          <w:b w:val="0"/>
          <w:i/>
          <w:color w:val="475569"/>
          <w:sz w:val="20"/>
        </w:rPr>
        <w:t>Internal Use Only · Confidential</w:t>
      </w:r>
    </w:p>
    <w:p>
      <w:r>
        <w:br w:type="page"/>
      </w:r>
    </w:p>
    <w:p>
      <w:pPr>
        <w:pStyle w:val="Heading1"/>
      </w:pPr>
      <w:r>
        <w:t>Purpose</w:t>
      </w:r>
    </w:p>
    <w:p>
      <w:pPr>
        <w:spacing w:after="160" w:before="0"/>
      </w:pPr>
      <w:r>
        <w:rPr>
          <w:rFonts w:ascii="Calibri" w:hAnsi="Calibri"/>
          <w:color w:val="1A1A1A"/>
          <w:sz w:val="22"/>
        </w:rPr>
        <w:t>Now Assist is the ServiceNow GenAI feature set powered by large language models. It depends entirely on clean OOTB data from all prior sprints — Incident categories (Sprint 1), KB articles (Sprint 3), and CMDB service data (Sprint 4). The consultant must configure Now Assist features in Sprint 6 and demonstrate how the clean OOTB baseline from the engagement directly enables the AI output quality.</w:t>
      </w:r>
    </w:p>
    <w:p>
      <w:r>
        <w:br w:type="page"/>
      </w:r>
    </w:p>
    <w:p>
      <w:pPr>
        <w:pStyle w:val="Heading1"/>
      </w:pPr>
      <w:r>
        <w:t>1.  OOTB Capabilities</w:t>
      </w:r>
    </w:p>
    <w:tbl>
      <w:tblPr>
        <w:tblW w:type="auto" w:w="0"/>
        <w:jc w:val="left"/>
        <w:tblLook w:firstColumn="1" w:firstRow="1" w:lastColumn="0" w:lastRow="0" w:noHBand="0" w:noVBand="1" w:val="04A0"/>
      </w:tblPr>
      <w:tblGrid>
        <w:gridCol w:w="4680"/>
        <w:gridCol w:w="4680"/>
      </w:tblGrid>
      <w:tr>
        <w:trPr>
          <w:tblHeader/>
        </w:trPr>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Capability</w:t>
            </w:r>
          </w:p>
        </w:tc>
        <w:tc>
          <w:tcPr>
            <w:tcW w:type="dxa" w:w="97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It Does</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Incident Summarization</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GenAI summarizes the Incident record, work notes, and resolution into a structured summary. Reduces time-to-context for agents picking up assigned incidents.</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Resolution Notes Generation</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GenAI drafts a resolution note from the work notes and KB article used to resolve. Agent reviews and approves before closure.</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AI Search (Search Augmentation)</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GenAI-enhanced search across KB, catalog, and internal records. Returns synthesized answers, not just document links. Requires KB indexed for AI.</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Case Summarization (CSM/HR)</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Same as Incident summarization, applied to HR and CSM cases.</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Change Summarization</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GenAI summarizes change request scope, risk, and implementation plan from the change record.</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Now Assist for VA</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GenAI fallback in Virtual Agent: if no configured topic matches, Now Assist generates a response from the KB. Reduces zero-result escalations.</w:t>
            </w:r>
          </w:p>
        </w:tc>
      </w:tr>
    </w:tbl>
    <w:p>
      <w:pPr>
        <w:spacing w:after="40"/>
      </w:pPr>
    </w:p>
    <w:p>
      <w:r>
        <w:br w:type="page"/>
      </w:r>
    </w:p>
    <w:p>
      <w:pPr>
        <w:pStyle w:val="Heading1"/>
      </w:pPr>
      <w:r>
        <w:t>2.  Two-Phase Approach</w:t>
      </w:r>
    </w:p>
    <w:tbl>
      <w:tblPr>
        <w:tblW w:type="auto" w:w="0"/>
        <w:jc w:val="left"/>
        <w:tblLook w:firstColumn="1" w:firstRow="1" w:lastColumn="0" w:lastRow="0" w:noHBand="0" w:noVBand="1" w:val="04A0"/>
      </w:tblPr>
      <w:tblGrid>
        <w:gridCol w:w="4680"/>
        <w:gridCol w:w="4680"/>
      </w:tblGrid>
      <w:tr>
        <w:trPr>
          <w:tblHeader/>
        </w:trPr>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Phase</w:t>
            </w:r>
          </w:p>
        </w:tc>
        <w:tc>
          <w:tcPr>
            <w:tcW w:type="dxa" w:w="1065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Deliverable</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Phase 1 (Sprint 6)</w:t>
            </w:r>
          </w:p>
        </w:tc>
        <w:tc>
          <w:tcPr>
            <w:tcW w:type="dxa" w:w="106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Incident summarization and AI search enabled. KB indexed for AI search. Resolution notes generation enabled.</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Phase 2</w:t>
            </w:r>
          </w:p>
        </w:tc>
        <w:tc>
          <w:tcPr>
            <w:tcW w:type="dxa" w:w="106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VA GenAI fallback enabled. Change summarization. HR case summarization if HR module in scope.</w:t>
            </w:r>
          </w:p>
        </w:tc>
      </w:tr>
    </w:tbl>
    <w:p>
      <w:pPr>
        <w:spacing w:after="40"/>
      </w:pPr>
    </w:p>
    <w:p>
      <w:r>
        <w:br w:type="page"/>
      </w:r>
    </w:p>
    <w:p>
      <w:pPr>
        <w:pStyle w:val="Heading1"/>
      </w:pPr>
      <w:r>
        <w:t>3.  OOTB Defense Language</w:t>
      </w:r>
    </w:p>
    <w:tbl>
      <w:tblPr>
        <w:tblW w:type="auto" w:w="0"/>
        <w:jc w:val="left"/>
        <w:tblLook w:firstColumn="1" w:firstRow="1" w:lastColumn="0" w:lastRow="0" w:noHBand="0" w:noVBand="1" w:val="04A0"/>
      </w:tblPr>
      <w:tblGrid>
        <w:gridCol w:w="4680"/>
        <w:gridCol w:w="4680"/>
      </w:tblGrid>
      <w:tr>
        <w:trPr>
          <w:tblHeader/>
        </w:trPr>
        <w:tc>
          <w:tcPr>
            <w:tcW w:type="dxa" w:w="460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Customization Request</w:t>
            </w:r>
          </w:p>
        </w:tc>
        <w:tc>
          <w:tcPr>
            <w:tcW w:type="dxa" w:w="892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OOTB Response</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'Now Assist will replace our analysts.'</w:t>
            </w:r>
          </w:p>
        </w:tc>
        <w:tc>
          <w:tcPr>
            <w:tcW w:type="dxa" w:w="89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Now Assist augments analysts — it does not replace them. Summarization saves 2-3 minutes per incident in context-building. AI search surfaces answers faster. Resolution note generation reduces documentation time. Analysts focus on diagnosis and customer relationship; Now Assist handles the documentation and search.</w:t>
            </w:r>
          </w:p>
        </w:tc>
      </w:tr>
      <w:tr>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'Our data isn't good enough for AI.'</w:t>
            </w:r>
          </w:p>
        </w:tc>
        <w:tc>
          <w:tcPr>
            <w:tcW w:type="dxa" w:w="89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That is exactly what the prior 5 sprints addressed. The OOTB foundation we built — consistent categories, structured KB articles, clean assignment data — is what makes Now Assist responses accurate. Low-quality data produces low-quality AI. High-quality OOTB data produces high-quality AI.</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 need to control what Now Assist says.'</w:t>
            </w:r>
          </w:p>
        </w:tc>
        <w:tc>
          <w:tcPr>
            <w:tcW w:type="dxa" w:w="89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Now Assist answers are grounded in your KB articles and Incident history. It does not generate responses from general internet knowledge. If an answer is wrong, the fix is to update the KB article, not to modify the model. Content governance is the control mechanism.</w:t>
            </w:r>
          </w:p>
        </w:tc>
      </w:tr>
    </w:tbl>
    <w:p>
      <w:pPr>
        <w:spacing w:after="40"/>
      </w:pPr>
    </w:p>
    <w:p>
      <w:r>
        <w:br w:type="page"/>
      </w:r>
    </w:p>
    <w:p>
      <w:pPr>
        <w:pStyle w:val="Heading1"/>
      </w:pPr>
      <w:r>
        <w:t>4.  Demo Flow</w:t>
      </w:r>
    </w:p>
    <w:tbl>
      <w:tblPr>
        <w:tblW w:type="auto" w:w="0"/>
        <w:jc w:val="left"/>
        <w:tblLook w:firstColumn="1" w:firstRow="1" w:lastColumn="0" w:lastRow="0" w:noHBand="0" w:noVBand="1" w:val="04A0"/>
      </w:tblPr>
      <w:tblGrid>
        <w:gridCol w:w="4680"/>
        <w:gridCol w:w="4680"/>
      </w:tblGrid>
      <w:tr>
        <w:trPr>
          <w:tblHeader/>
        </w:trPr>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Act</w:t>
            </w:r>
          </w:p>
        </w:tc>
        <w:tc>
          <w:tcPr>
            <w:tcW w:type="dxa" w:w="97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to Show</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Act 1 — Incident Summarization (3 min)</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Open an Incident with 5+ work notes. Click 'Summarize' in the Now Assist panel. Show the structured summary: what happened, what was tried, current status.</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Act 2 — AI Search (3 min)</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Open the Now Assist search panel. Type a natural language question ('how do I reset my password'). Show the synthesized answer drawn from KB articles.</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Act 3 — Resolution Note Generation (3 min)</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Resolve a test Incident using an OOTB workflow. Click 'Generate resolution note' in Now Assist. Show the draft note. Edit and approve.</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Act 4 — KB Grounding (2 min)</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Show the KB articles cited in the Now Assist AI search response. Click through to the source article. Demonstrate the answer is grounded in real content.</w:t>
            </w:r>
          </w:p>
        </w:tc>
      </w:tr>
    </w:tbl>
    <w:p>
      <w:pPr>
        <w:spacing w:after="40"/>
      </w:pPr>
    </w:p>
    <w:p>
      <w:r>
        <w:br w:type="page"/>
      </w:r>
    </w:p>
    <w:p>
      <w:pPr>
        <w:pStyle w:val="Heading1"/>
      </w:pPr>
      <w:r>
        <w:t>5.  UAT Scenarios</w:t>
      </w:r>
    </w:p>
    <w:tbl>
      <w:tblPr>
        <w:tblW w:type="auto" w:w="0"/>
        <w:jc w:val="left"/>
        <w:tblLook w:firstColumn="1" w:firstRow="1" w:lastColumn="0" w:lastRow="0" w:noHBand="0" w:noVBand="1" w:val="04A0"/>
      </w:tblPr>
      <w:tblGrid>
        <w:gridCol w:w="4680"/>
        <w:gridCol w:w="4680"/>
      </w:tblGrid>
      <w:tr>
        <w:trPr>
          <w:tblHeader/>
        </w:trPr>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Scenario</w:t>
            </w:r>
          </w:p>
        </w:tc>
        <w:tc>
          <w:tcPr>
            <w:tcW w:type="dxa" w:w="97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Test Steps</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Summarization Quality</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Open 5 Incidents with varying note volumes. Run summarization on each. Confirm summaries are accurate and contain no hallucinated information.</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AI Search Relevance</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Submit 10 natural language questions covering common employee requests. Confirm answers are grounded in indexed KB articles.</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Resolution Note Accuracy</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Generate resolution notes for 5 closed Incidents. Confirm each note accurately reflects the resolution path from the work notes.</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KB Indexing Coverage</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Confirm all 50+ published KB articles have 'Index for search' enabled. Confirm AI search returns results from articles across all KB categories.</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Now Assist Panel Availability</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Confirm the Now Assist panel is visible on the Incident form, the KB article page, and the EC Pro search results page.</w:t>
            </w:r>
          </w:p>
        </w:tc>
      </w:tr>
    </w:tbl>
    <w:p>
      <w:pPr>
        <w:spacing w:after="40"/>
      </w:pP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png"/>
                  <pic:cNvPicPr/>
                </pic:nvPicPr>
                <pic:blipFill>
                  <a:blip r:embed="rId1"/>
                  <a:stretch>
                    <a:fillRect/>
                  </a:stretch>
                </pic:blipFill>
                <pic:spPr>
                  <a:xfrm>
                    <a:off x="0" y="0"/>
                    <a:ext cx="960120" cy="178932"/>
                  </a:xfrm>
                  <a:prstGeom prst="rect"/>
                </pic:spPr>
              </pic:pic>
            </a:graphicData>
          </a:graphic>
        </wp:inline>
      </w:drawing>
    </w:r>
    <w:r>
      <w:tab/>
    </w:r>
    <w:r>
      <w:rPr>
        <w:rFonts w:ascii="Calibri" w:hAnsi="Calibri"/>
        <w:color w:val="475569"/>
        <w:spacing w:val="30"/>
        <w:sz w:val="18"/>
      </w:rPr>
      <w:t>Internal · INT-HT-11 Now Assist / GenAI How-To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