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DISCIPLINE HOW-TO GUIDE</w:t>
      </w:r>
    </w:p>
    <w:p>
      <w:pPr>
        <w:spacing w:before="0" w:after="40"/>
      </w:pPr>
      <w:r>
        <w:rPr>
          <w:rFonts w:ascii="Calibri" w:hAnsi="Calibri"/>
          <w:b/>
          <w:color w:val="0B1F3A"/>
          <w:sz w:val="56"/>
        </w:rPr>
        <w:t>Predictive Intelligence How-To</w:t>
      </w:r>
    </w:p>
    <w:p>
      <w:pPr>
        <w:spacing w:before="0" w:after="40"/>
      </w:pPr>
      <w:r>
        <w:rPr>
          <w:rFonts w:ascii="Calibri" w:hAnsi="Calibri"/>
          <w:b/>
          <w:color w:val="0B1F3A"/>
          <w:sz w:val="56"/>
        </w:rPr>
        <w:t>Consultant Guide</w:t>
      </w:r>
    </w:p>
    <w:p>
      <w:pPr>
        <w:spacing w:before="120" w:after="400"/>
      </w:pPr>
      <w:r>
        <w:rPr>
          <w:rFonts w:ascii="Calibri" w:hAnsi="Calibri"/>
          <w:i/>
          <w:color w:val="0D9488"/>
          <w:sz w:val="24"/>
        </w:rPr>
        <w:t>OOTB capabilities, two-phase approach, defense language, demo flow, and UAT scenarios for Predictive Intelligence</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Solution Architect</w:t>
      </w:r>
    </w:p>
    <w:p>
      <w:pPr>
        <w:spacing w:after="40"/>
      </w:pPr>
      <w:r>
        <w:rPr>
          <w:rFonts w:ascii="Calibri" w:hAnsi="Calibri"/>
          <w:b w:val="0"/>
          <w:i w:val="0"/>
          <w:color w:val="475569"/>
          <w:sz w:val="20"/>
        </w:rPr>
        <w:t>Companion to: INT-FG-06 Sprint 3 · Predictive Intelligence Accelerator Pack (AP-17) · CLT-WP-10 PI Pre-Read</w:t>
      </w:r>
    </w:p>
    <w:p>
      <w:pPr>
        <w:spacing w:after="80"/>
      </w:pPr>
      <w:r>
        <w:rPr>
          <w:rFonts w:ascii="Calibri" w:hAnsi="Calibri"/>
          <w:b w:val="0"/>
          <w:i w:val="0"/>
          <w:color w:val="475569"/>
          <w:sz w:val="20"/>
        </w:rPr>
        <w:t>Document ID: INT-HT-10     ·     Version: 1.0     ·     Status: Released</w:t>
      </w:r>
    </w:p>
    <w:p>
      <w:pPr>
        <w:spacing w:after="280"/>
      </w:pPr>
      <w:r>
        <w:rPr>
          <w:rFonts w:ascii="Calibri" w:hAnsi="Calibri"/>
          <w:b w:val="0"/>
          <w:i/>
          <w:color w:val="475569"/>
          <w:sz w:val="20"/>
        </w:rPr>
        <w:t>Internal Use Only · Confidential</w:t>
      </w:r>
    </w:p>
    <w:p>
      <w:r>
        <w:br w:type="page"/>
      </w:r>
    </w:p>
    <w:p>
      <w:pPr>
        <w:pStyle w:val="Heading1"/>
      </w:pPr>
      <w:r>
        <w:t>Purpose</w:t>
      </w:r>
    </w:p>
    <w:p>
      <w:pPr>
        <w:spacing w:after="160" w:before="0"/>
      </w:pPr>
      <w:r>
        <w:rPr>
          <w:rFonts w:ascii="Calibri" w:hAnsi="Calibri"/>
          <w:color w:val="1A1A1A"/>
          <w:sz w:val="22"/>
        </w:rPr>
        <w:t>Predictive Intelligence automates categorization, assignment group prediction, and similar incident surfacing using ML trained on the customer's own historical data. The consultant must set realistic expectations about training data requirements and model accuracy timelines. PI is a Sprint 3 configuration item but reaches full effectiveness after 90 days of operational data.</w:t>
      </w:r>
    </w:p>
    <w:p>
      <w:r>
        <w:br w:type="page"/>
      </w:r>
    </w:p>
    <w:p>
      <w:pPr>
        <w:pStyle w:val="Heading1"/>
      </w:pPr>
      <w:r>
        <w:t>1.  OOTB Capabilities</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Category Prediction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ML model trained on historical incident category patterns. Predicts incident category from short description. Reduces mis-categorization and analyst decision fatigue.</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Assignment Group Prediction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ML model predicts the most likely assignment group from incident category and description. Reduces wrong-queue routing.</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Similar Incident</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ML-powered similar incident suggestions: shows the 5 most similar historical incidents. Accelerates resolution by surfacing prior resolutions.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Case Similarity (CSM/HR)</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Similar case suggestions for CSM and HR Service Delivery. Same ML engine as Similar Incident.</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Model Training</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model training triggered manually or on schedule. Training requires minimum 1,000 historical records with consistent category and assignment data for reliable prediction.</w:t>
            </w:r>
          </w:p>
        </w:tc>
      </w:tr>
    </w:tbl>
    <w:p>
      <w:pPr>
        <w:spacing w:after="40"/>
      </w:pPr>
    </w:p>
    <w:p>
      <w:r>
        <w:br w:type="page"/>
      </w:r>
    </w:p>
    <w:p>
      <w:pPr>
        <w:pStyle w:val="Heading1"/>
      </w:pPr>
      <w:r>
        <w:t>2.  Two-Phase Approach</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Phase</w:t>
            </w:r>
          </w:p>
        </w:tc>
        <w:tc>
          <w:tcPr>
            <w:tcW w:type="dxa" w:w="106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Deliverable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Phase 1 (Sprint 3)</w:t>
            </w:r>
          </w:p>
        </w:tc>
        <w:tc>
          <w:tcPr>
            <w:tcW w:type="dxa" w:w="106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PI solutions configured (Category, Assignment, Similar Incident). Training data assessed — minimum 1,000 records required. Initial model trained if data threshold met.</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 2 (Sprint 6 / Post-Go-Live)</w:t>
            </w:r>
          </w:p>
        </w:tc>
        <w:tc>
          <w:tcPr>
            <w:tcW w:type="dxa" w:w="106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Models retrained quarterly using 90 days of live operational data. Model accuracy dashboard reviewed with IT Director. Additional PI solutions added (PI for catalog, VA topic suggestion).</w:t>
            </w:r>
          </w:p>
        </w:tc>
      </w:tr>
    </w:tbl>
    <w:p>
      <w:pPr>
        <w:spacing w:after="40"/>
      </w:pPr>
    </w:p>
    <w:p>
      <w:r>
        <w:br w:type="page"/>
      </w:r>
    </w:p>
    <w:p>
      <w:pPr>
        <w:pStyle w:val="Heading1"/>
      </w:pPr>
      <w:r>
        <w:t>3.  OOTB Defense Language</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Customization Request</w:t>
            </w:r>
          </w:p>
        </w:tc>
        <w:tc>
          <w:tcPr>
            <w:tcW w:type="dxa" w:w="89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OOTB Response</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'PI should be 100% accurate from day one.'</w:t>
            </w:r>
          </w:p>
        </w:tc>
        <w:tc>
          <w:tcPr>
            <w:tcW w:type="dxa" w:w="89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ML models require training data to learn patterns. With 1,000 records, expect 60-70% accuracy in category prediction. With 5,000+ records of consistent data, accuracy reaches 80-85%. PI is designed to reduce analyst effort — even 70% accuracy means 70% of incidents are pre-categorized correctly, saving analyst time for the 30% that need correction.</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 don't have enough historical data for PI.'</w:t>
            </w:r>
          </w:p>
        </w:tc>
        <w:tc>
          <w:tcPr>
            <w:tcW w:type="dxa" w:w="89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1,000 records is the minimum threshold. If the customer has fewer, PI training is deferred to post-go-live once the minimum is reached. Alternatively, we can use data from the customer's prior ITSM system if it can be mapped to ServiceNow category and assignment fields.</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want PI to auto-assign incidents to individual agents, not just groups.'</w:t>
            </w:r>
          </w:p>
        </w:tc>
        <w:tc>
          <w:tcPr>
            <w:tcW w:type="dxa" w:w="89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Individual agent assignment requires agent availability data (from shift scheduling integration) and skill profile data — both require Phase 2 configuration. Assignment group prediction is the Phase 1 deliverable. Individual assignment is a Phase 2 scope item.</w:t>
            </w:r>
          </w:p>
        </w:tc>
      </w:tr>
    </w:tbl>
    <w:p>
      <w:pPr>
        <w:spacing w:after="40"/>
      </w:pPr>
    </w:p>
    <w:p>
      <w:r>
        <w:br w:type="page"/>
      </w:r>
    </w:p>
    <w:p>
      <w:pPr>
        <w:pStyle w:val="Heading1"/>
      </w:pPr>
      <w:r>
        <w:t>4.  Demo Flow</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Act</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to Show</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 1 — Category Prediction (3 min)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Open a new Incident. Type a short description (e.g., 'my laptop won't connect to wifi'). Show the category field auto-populating with the predicted category.</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Act 2 — Assignment Prediction (2 min)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Continue with the same Incident. Show the predicted assignment group populating based on the predicted category.</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 3 — Similar Incident (4 min)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Open an Incident in a category with historical data. Show the Similar Incidents widget surfacing the top 5 similar historical incidents with resolution notes.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Act 4 — Model Dashboard (2 min)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Open the PI model dashboard. Show the training record count, accuracy rate, and last trained date.</w:t>
            </w:r>
          </w:p>
        </w:tc>
      </w:tr>
    </w:tbl>
    <w:p>
      <w:pPr>
        <w:spacing w:after="40"/>
      </w:pPr>
    </w:p>
    <w:p>
      <w:r>
        <w:br w:type="page"/>
      </w:r>
    </w:p>
    <w:p>
      <w:pPr>
        <w:pStyle w:val="Heading1"/>
      </w:pPr>
      <w:r>
        <w:t>5.  UAT Scenarios</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Scenario</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Test Steps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Category Prediction Accuracy</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Submit 20 test incidents with descriptions matching known categories. Confirm ≥ 70% predicted correctly.</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Assignment Group Accuracy</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For each predicted category, confirm the assignment group prediction matches the configured Assignment Lookup Rule for that category.</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Similar Incident Surface</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Create an Incident matching a historical pattern. Confirm Similar Incidents widget shows at least 3 relevant historical incidents.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Model Retraining</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Trigger a manual model retraining. Confirm the training completes without error and the model accuracy metrics update.</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Low Confidence Handling</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Create an Incident with a novel, ambiguous description. Confirm the prediction is marked as low confidence and does not auto-populate without analyst confirmation.</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INT-HT-10 Predictive Intelligence How-To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