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INTERNAL · DISCIPLINE HOW-TO GUIDE</w:t>
      </w:r>
    </w:p>
    <w:p>
      <w:pPr>
        <w:spacing w:before="0" w:after="40"/>
      </w:pPr>
      <w:r>
        <w:rPr>
          <w:rFonts w:ascii="Calibri" w:hAnsi="Calibri"/>
          <w:b/>
          <w:color w:val="0B1F3A"/>
          <w:sz w:val="56"/>
        </w:rPr>
        <w:t>Service Catalog &amp; Request Management How-To</w:t>
      </w:r>
    </w:p>
    <w:p>
      <w:pPr>
        <w:spacing w:before="0" w:after="40"/>
      </w:pPr>
      <w:r>
        <w:rPr>
          <w:rFonts w:ascii="Calibri" w:hAnsi="Calibri"/>
          <w:b/>
          <w:color w:val="0B1F3A"/>
          <w:sz w:val="56"/>
        </w:rPr>
        <w:t>Consultant Guide</w:t>
      </w:r>
    </w:p>
    <w:p>
      <w:pPr>
        <w:spacing w:before="120" w:after="400"/>
      </w:pPr>
      <w:r>
        <w:rPr>
          <w:rFonts w:ascii="Calibri" w:hAnsi="Calibri"/>
          <w:i/>
          <w:color w:val="0D9488"/>
          <w:sz w:val="24"/>
        </w:rPr>
        <w:t>OOTB capabilities, two-phase approach, defense language, demo flow, and UAT scenarios for Service Catalog &amp; Request Management</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ECS Lead Consultant, Solution Architect</w:t>
      </w:r>
    </w:p>
    <w:p>
      <w:pPr>
        <w:spacing w:after="40"/>
      </w:pPr>
      <w:r>
        <w:rPr>
          <w:rFonts w:ascii="Calibri" w:hAnsi="Calibri"/>
          <w:b w:val="0"/>
          <w:i w:val="0"/>
          <w:color w:val="475569"/>
          <w:sz w:val="20"/>
        </w:rPr>
        <w:t>Companion to: INT-FG-03 Sprint 4 Catalog Facilitator Guide · Service Catalog Accelerator Pack (AP-14)</w:t>
      </w:r>
    </w:p>
    <w:p>
      <w:pPr>
        <w:spacing w:after="80"/>
      </w:pPr>
      <w:r>
        <w:rPr>
          <w:rFonts w:ascii="Calibri" w:hAnsi="Calibri"/>
          <w:b w:val="0"/>
          <w:i w:val="0"/>
          <w:color w:val="475569"/>
          <w:sz w:val="20"/>
        </w:rPr>
        <w:t>Document ID: INT-HT-05b     ·     Version: 1.0     ·     Status: Released</w:t>
      </w:r>
    </w:p>
    <w:p>
      <w:pPr>
        <w:spacing w:after="280"/>
      </w:pPr>
      <w:r>
        <w:rPr>
          <w:rFonts w:ascii="Calibri" w:hAnsi="Calibri"/>
          <w:b w:val="0"/>
          <w:i/>
          <w:color w:val="475569"/>
          <w:sz w:val="20"/>
        </w:rPr>
        <w:t>Internal Use Only · Confidential</w:t>
      </w:r>
    </w:p>
    <w:p>
      <w:r>
        <w:br w:type="page"/>
      </w:r>
    </w:p>
    <w:p>
      <w:pPr>
        <w:pStyle w:val="Heading1"/>
      </w:pPr>
      <w:r>
        <w:t>Purpose</w:t>
      </w:r>
    </w:p>
    <w:p>
      <w:pPr>
        <w:spacing w:after="160" w:before="0"/>
      </w:pPr>
      <w:r>
        <w:rPr>
          <w:rFonts w:ascii="Calibri" w:hAnsi="Calibri"/>
          <w:color w:val="1A1A1A"/>
          <w:sz w:val="22"/>
        </w:rPr>
        <w:t>Service Catalog &amp; Request Management is the discipline with the widest gap between customer expectations and OOTB capabilities — not because OOTB is inadequate, but because customers have seen highly customized catalogs and assume customization is required. The consultant must demonstrate the OOTB catalog covering real use cases before scope discussion begins.</w:t>
      </w:r>
    </w:p>
    <w:p>
      <w:r>
        <w:br w:type="page"/>
      </w:r>
    </w:p>
    <w:p>
      <w:pPr>
        <w:pStyle w:val="Heading1"/>
      </w:pPr>
      <w:r>
        <w:t>1.  OOTB Capabilities</w:t>
      </w:r>
    </w:p>
    <w:tbl>
      <w:tblPr>
        <w:tblW w:type="auto" w:w="0"/>
        <w:jc w:val="left"/>
        <w:tblLook w:firstColumn="1" w:firstRow="1" w:lastColumn="0" w:lastRow="0" w:noHBand="0" w:noVBand="1" w:val="04A0"/>
      </w:tblPr>
      <w:tblGrid>
        <w:gridCol w:w="4680"/>
        <w:gridCol w:w="4680"/>
      </w:tblGrid>
      <w:tr>
        <w:trPr>
          <w:tblHeader/>
        </w:trPr>
        <w:tc>
          <w:tcPr>
            <w:tcW w:type="dxa" w:w="374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Capability</w:t>
            </w:r>
          </w:p>
        </w:tc>
        <w:tc>
          <w:tcPr>
            <w:tcW w:type="dxa" w:w="97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It Does</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Catalog Item Types</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Catalog Item (single form), Record Producer (creates any record type), Order Guide (multi-item bundle), Content Item (link to external resource). All OOTB, no custom item types needed.</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Flow Designer Fulfillment</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OOTB fulfillment workflows built in Flow Designer. Supports auto-approval, group manager approval, named approver, and sequential multi-stage approval without custom code.</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Variable Types</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20+ OOTB variable types: single-line text, multiple choice, checkbox, date/time, reference, list collector, attached document. No custom variable types needed for standard catalog scenarios.</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Common Variable Sets</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Reusable variable groups (e.g., 'Requester Information', 'Approval Justification') that can be added to multiple catalog items without rebuilding.</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Request Management</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OOTB RITM (Request Item) tracking: one Request can contain multiple RITMs. Each RITM has its own fulfillment workflow, SLA, and assignment group.</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Catalog Search</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OOTB search across catalog items, categories, and keywords. EC Pro search integration provides enterprise search across catalog and KB simultaneously.</w:t>
            </w:r>
          </w:p>
        </w:tc>
      </w:tr>
    </w:tbl>
    <w:p>
      <w:pPr>
        <w:spacing w:after="40"/>
      </w:pPr>
    </w:p>
    <w:p>
      <w:r>
        <w:br w:type="page"/>
      </w:r>
    </w:p>
    <w:p>
      <w:pPr>
        <w:pStyle w:val="Heading1"/>
      </w:pPr>
      <w:r>
        <w:t>2.  Two-Phase Approach</w:t>
      </w:r>
    </w:p>
    <w:tbl>
      <w:tblPr>
        <w:tblW w:type="auto" w:w="0"/>
        <w:jc w:val="left"/>
        <w:tblLook w:firstColumn="1" w:firstRow="1" w:lastColumn="0" w:lastRow="0" w:noHBand="0" w:noVBand="1" w:val="04A0"/>
      </w:tblPr>
      <w:tblGrid>
        <w:gridCol w:w="4680"/>
        <w:gridCol w:w="4680"/>
      </w:tblGrid>
      <w:tr>
        <w:trPr>
          <w:tblHeader/>
        </w:trPr>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Phase</w:t>
            </w:r>
          </w:p>
        </w:tc>
        <w:tc>
          <w:tcPr>
            <w:tcW w:type="dxa" w:w="1065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Deliverable</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Phase 1 (Sprint 2)</w:t>
            </w:r>
          </w:p>
        </w:tc>
        <w:tc>
          <w:tcPr>
            <w:tcW w:type="dxa" w:w="106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40 catalog items published with named owners. Category hierarchy configured. Top 10 items fully configured with fulfillment workflows. EC Pro integration confirmed.</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Phase 2 (Post-Go-Live)</w:t>
            </w:r>
          </w:p>
        </w:tc>
        <w:tc>
          <w:tcPr>
            <w:tcW w:type="dxa" w:w="106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Remaining catalog items from Phase 2 backlog configured by business owners using self-service item builder. Catalog governance process active.</w:t>
            </w:r>
          </w:p>
        </w:tc>
      </w:tr>
    </w:tbl>
    <w:p>
      <w:pPr>
        <w:spacing w:after="40"/>
      </w:pPr>
    </w:p>
    <w:p>
      <w:r>
        <w:br w:type="page"/>
      </w:r>
    </w:p>
    <w:p>
      <w:pPr>
        <w:pStyle w:val="Heading1"/>
      </w:pPr>
      <w:r>
        <w:t>3.  OOTB Defense Language</w:t>
      </w:r>
    </w:p>
    <w:tbl>
      <w:tblPr>
        <w:tblW w:type="auto" w:w="0"/>
        <w:jc w:val="left"/>
        <w:tblLook w:firstColumn="1" w:firstRow="1" w:lastColumn="0" w:lastRow="0" w:noHBand="0" w:noVBand="1" w:val="04A0"/>
      </w:tblPr>
      <w:tblGrid>
        <w:gridCol w:w="4680"/>
        <w:gridCol w:w="4680"/>
      </w:tblGrid>
      <w:tr>
        <w:trPr>
          <w:tblHeader/>
        </w:trPr>
        <w:tc>
          <w:tcPr>
            <w:tcW w:type="dxa" w:w="460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Customization Request</w:t>
            </w:r>
          </w:p>
        </w:tc>
        <w:tc>
          <w:tcPr>
            <w:tcW w:type="dxa" w:w="892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OOTB Response</w:t>
            </w:r>
          </w:p>
        </w:tc>
      </w:tr>
      <w:tr>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'We need catalog items to trigger custom scripts on variable change.'</w:t>
            </w:r>
          </w:p>
        </w:tc>
        <w:tc>
          <w:tcPr>
            <w:tcW w:type="dxa" w:w="89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Catalog client scripts are a technical debt source and an upgrade risk. In 90% of cases, the script is doing one of: conditional variable display (handled by OOTB variable display conditions), cascading dropdown population (handled by reference qualifier on reference variables), or validation (handled by OOTB variable validation). Identify the specific behavior before scoping a client script.</w:t>
            </w:r>
          </w:p>
        </w:tc>
      </w:tr>
      <w:tr>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'Our fulfillment workflow needs 5 approval steps.'</w:t>
            </w:r>
          </w:p>
        </w:tc>
        <w:tc>
          <w:tcPr>
            <w:tcW w:type="dxa" w:w="89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Walk through what each of the 5 steps is doing. Multi-level approval in the OOTB Flow Designer supports sequential approvers. If 3 of the 5 steps are internal fulfillment team decisions (not approvals requiring stakeholder sign-off), they belong in fulfillment task notes, not approval workflow steps.</w:t>
            </w:r>
          </w:p>
        </w:tc>
      </w:tr>
      <w:tr>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'We want the catalog to look completely different from the OOTB EC Pro layout.'</w:t>
            </w:r>
          </w:p>
        </w:tc>
        <w:tc>
          <w:tcPr>
            <w:tcW w:type="dxa" w:w="89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 Pro is the ServiceNow-recommended catalog UI. Customizing the catalog UI requires Service Portal or front-end development — a Phase 2 project. The OOTB EC Pro with customer branding (logo, colors, hero banner) looks professional and is maintainable.</w:t>
            </w:r>
          </w:p>
        </w:tc>
      </w:tr>
    </w:tbl>
    <w:p>
      <w:pPr>
        <w:spacing w:after="40"/>
      </w:pPr>
    </w:p>
    <w:p>
      <w:r>
        <w:br w:type="page"/>
      </w:r>
    </w:p>
    <w:p>
      <w:pPr>
        <w:pStyle w:val="Heading1"/>
      </w:pPr>
      <w:r>
        <w:t>4.  Demo Flow</w:t>
      </w:r>
    </w:p>
    <w:tbl>
      <w:tblPr>
        <w:tblW w:type="auto" w:w="0"/>
        <w:jc w:val="left"/>
        <w:tblLook w:firstColumn="1" w:firstRow="1" w:lastColumn="0" w:lastRow="0" w:noHBand="0" w:noVBand="1" w:val="04A0"/>
      </w:tblPr>
      <w:tblGrid>
        <w:gridCol w:w="4680"/>
        <w:gridCol w:w="4680"/>
      </w:tblGrid>
      <w:tr>
        <w:trPr>
          <w:tblHeader/>
        </w:trPr>
        <w:tc>
          <w:tcPr>
            <w:tcW w:type="dxa" w:w="374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Act</w:t>
            </w:r>
          </w:p>
        </w:tc>
        <w:tc>
          <w:tcPr>
            <w:tcW w:type="dxa" w:w="97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to Show</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Act 1 — Catalog Browse and Search (2 min)</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Open EC Pro. Navigate to a catalog category. Use the search to find an item by keyword. Show the item page with description and variables.</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Act 2 — Submit a Request (4 min)</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Submit a catalog request for a common item. Complete the variables. Show the approval email sent. Approve the request. Show the fulfillment task created.</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Act 3 — Fulfillment Task Completion (3 min)</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Complete the fulfillment task. Show the requester notification. Open the RITM record — show the closed state and the full activity log.</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Act 4 — Order Guide Demo (2 min)</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Submit an Order Guide (multi-item bundle). Show multiple RITMs created from a single request.</w:t>
            </w:r>
          </w:p>
        </w:tc>
      </w:tr>
    </w:tbl>
    <w:p>
      <w:pPr>
        <w:spacing w:after="40"/>
      </w:pPr>
    </w:p>
    <w:p>
      <w:r>
        <w:br w:type="page"/>
      </w:r>
    </w:p>
    <w:p>
      <w:pPr>
        <w:pStyle w:val="Heading1"/>
      </w:pPr>
      <w:r>
        <w:t>5.  UAT Scenarios</w:t>
      </w:r>
    </w:p>
    <w:tbl>
      <w:tblPr>
        <w:tblW w:type="auto" w:w="0"/>
        <w:jc w:val="left"/>
        <w:tblLook w:firstColumn="1" w:firstRow="1" w:lastColumn="0" w:lastRow="0" w:noHBand="0" w:noVBand="1" w:val="04A0"/>
      </w:tblPr>
      <w:tblGrid>
        <w:gridCol w:w="4680"/>
        <w:gridCol w:w="4680"/>
      </w:tblGrid>
      <w:tr>
        <w:trPr>
          <w:tblHeader/>
        </w:trPr>
        <w:tc>
          <w:tcPr>
            <w:tcW w:type="dxa" w:w="374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Scenario</w:t>
            </w:r>
          </w:p>
        </w:tc>
        <w:tc>
          <w:tcPr>
            <w:tcW w:type="dxa" w:w="97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Test Steps</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Single Item Request</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Submit a request for each of the top 5 catalog items. Confirm fulfillment workflow triggers, approval routes correctly, and fulfillment task appears in the correct group queue.</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Multi-Stage Approval</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Submit a request for an item requiring 2 approval stages. Confirm stage 1 approval triggers stage 2 notification. Confirm stage 2 approval triggers fulfillment task creation.</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Requester Notification</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Submit and complete a request. Confirm the requester receives: (1) request acknowledgment, (2) approval decision notification, (3) fulfillment completion notification.</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Catalog Search Accuracy</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Search for 10 common employee request terms. Confirm each returns at least one relevant catalog item. Flag any searches returning zero results for title/keyword adjustment.</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Variable Validation</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Submit a catalog item with intentionally invalid variable inputs (empty required fields, invalid date, out-of-range number). Confirm validation errors are shown before submission.</w:t>
            </w:r>
          </w:p>
        </w:tc>
      </w:tr>
    </w:tbl>
    <w:p>
      <w:pPr>
        <w:spacing w:after="40"/>
      </w:pP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Internal Use Only</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2"/>
          <wp:docPr id="1" name="Picture 1"/>
          <wp:cNvGraphicFramePr>
            <a:graphicFrameLocks noChangeAspect="1"/>
          </wp:cNvGraphicFramePr>
          <a:graphic>
            <a:graphicData uri="http://schemas.openxmlformats.org/drawingml/2006/picture">
              <pic:pic>
                <pic:nvPicPr>
                  <pic:cNvPr id="0" name="everforth_logo.png"/>
                  <pic:cNvPicPr/>
                </pic:nvPicPr>
                <pic:blipFill>
                  <a:blip r:embed="rId1"/>
                  <a:stretch>
                    <a:fillRect/>
                  </a:stretch>
                </pic:blipFill>
                <pic:spPr>
                  <a:xfrm>
                    <a:off x="0" y="0"/>
                    <a:ext cx="960120" cy="178932"/>
                  </a:xfrm>
                  <a:prstGeom prst="rect"/>
                </pic:spPr>
              </pic:pic>
            </a:graphicData>
          </a:graphic>
        </wp:inline>
      </w:drawing>
    </w:r>
    <w:r>
      <w:tab/>
    </w:r>
    <w:r>
      <w:rPr>
        <w:rFonts w:ascii="Calibri" w:hAnsi="Calibri"/>
        <w:color w:val="475569"/>
        <w:spacing w:val="30"/>
        <w:sz w:val="18"/>
      </w:rPr>
      <w:t>Internal · INT-HT-05b Service Catalog &amp; Request Management How-To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