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1. Purpose and OOTB Scope</w:t>
      </w:r>
    </w:p>
    <w:p>
      <w:pPr>
        <w:spacing w:after="160" w:before="0"/>
      </w:pPr>
      <w:r>
        <w:rPr>
          <w:rFonts w:ascii="Calibri" w:hAnsi="Calibri"/>
          <w:color w:val="1A1A1A"/>
          <w:sz w:val="22"/>
        </w:rPr>
        <w:t>This guide covers the OOTB configuration approach for Service Graph Connectors. Use it to prepare for workshops, navigate customer decisions, and defend the OOTB model when customization pressure arises.</w:t>
      </w:r>
    </w:p>
    <w:p>
      <w:pPr>
        <w:pStyle w:val="Heading1"/>
      </w:pPr>
      <w:r>
        <w:t>2.  2. Key OOTB Capabilities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Graph Connectors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Pre-built integrations that populate the CMDB with CI data from third-party tools (AWS, Azure, Qualys, Tanium, etc.) using the IRE reconciliation engine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IRE (Identification and Reconciliation Engine)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Deduplicates and reconciles CI data from multiple sources using OOTB identification rules — no custom merge logic needed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Health Dashboard</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dashboard for monitoring CI completeness, staleness, and duplicate detection across all data sources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Data Source Priority</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source ranking controls which tool 'wins' when multiple sources report conflicting CI attributes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Payload Viewer</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diagnostic tool for inspecting raw SGC payloads and debugging ingestion issues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Transform Maps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mapping of third-party tool field names to CMDB CI class attributes — configurable without scripting</w:t>
            </w:r>
          </w:p>
        </w:tc>
      </w:tr>
    </w:tbl>
    <w:p>
      <w:pPr>
        <w:spacing w:after="40"/>
      </w:pPr>
    </w:p>
    <w:p>
      <w:pPr>
        <w:pStyle w:val="Heading1"/>
      </w:pPr>
      <w:r>
        <w:t>3.  3. Two-Phase Delivery Approach</w:t>
      </w:r>
    </w:p>
    <w:tbl>
      <w:tblPr>
        <w:tblW w:type="auto" w:w="0"/>
        <w:jc w:val="left"/>
        <w:tblLook w:firstColumn="1" w:firstRow="1" w:lastColumn="0" w:lastRow="0" w:noHBand="0" w:noVBand="1" w:val="04A0"/>
      </w:tblPr>
      <w:tblGrid>
        <w:gridCol w:w="3120"/>
        <w:gridCol w:w="3120"/>
        <w:gridCol w:w="3120"/>
      </w:tblGrid>
      <w:tr>
        <w:trPr>
          <w:tblHeader/>
        </w:trPr>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64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Activities</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Exit Criteria</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 Foundations</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Activate SGC scoped apps; configure data source credentials; validate MID Server connectivity; run initial import against a small CI set; review IRE reconciliation results</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 least 1 SGC successfully ingesting CIs; IRE dedup working; CMDB Health showing green for ingested CIs</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 Expansion</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Onboard additional SGCs in priority order; configure data source priority rules; enable CMDB Health alerting; document all active data sources and their priority ranking</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All in-scope SGCs active; CI count meets minimum threshold for Discovery accuracy; CMDB Health score &gt; 70%</w:t>
            </w:r>
          </w:p>
        </w:tc>
      </w:tr>
    </w:tbl>
    <w:p>
      <w:pPr>
        <w:spacing w:after="40"/>
      </w:pPr>
    </w:p>
    <w:p>
      <w:pPr>
        <w:pStyle w:val="Heading1"/>
      </w:pPr>
      <w:r>
        <w:t>4.  4. OOTB Defense Language</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to write a custom script to pull from our proprietary CMDB'</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SGC connectors are purpose-built for exactly this. Before scripting anything, show us the source system API. There is likely an existing SGC or we can use the Generic REST SGC pattern without custom code.</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IRE doesn't merge CIs the way we want'</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IRE uses configurable identification rules — these can be tuned OOTB without scripting. Let us review the rule set before assuming a custom approach is needed.</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to pull custom fields from our source system'</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Transform maps support custom field mapping without scripting. Configure the transform map to include the fields you need, then add them to the target CI class if they're not already present.</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source system isn't on the SGC catalog'</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ServiceNow publishes new SGCs regularly. Check the store first. If genuinely unavailable, the Generic REST SGC handles most REST-capable sources OOTB.</w:t>
            </w:r>
          </w:p>
        </w:tc>
      </w:tr>
    </w:tbl>
    <w:p>
      <w:pPr>
        <w:spacing w:after="40"/>
      </w:pPr>
    </w:p>
    <w:p>
      <w:pPr>
        <w:pStyle w:val="Heading1"/>
      </w:pPr>
      <w:r>
        <w:t>5.  5. Demo Flow</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SGC Catalog Overview</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Show the ServiceNow Store SGC catalog; demonstrate the AWS and Azure connectors as reference points; explain the IRE reconciliation concept using a CI conflict example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Live Ingestion Run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Trigger a delta import from the configured SGC; show the Payload Viewer for one CI; navigate to the CI record and show source attribution</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CMDB Health Dashboard</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Show the Health Dashboard scorecards; demonstrate completeness and staleness indicators; show how to drill from the dashboard to the offending CIs</w:t>
            </w:r>
          </w:p>
        </w:tc>
      </w:tr>
    </w:tbl>
    <w:p>
      <w:pPr>
        <w:spacing w:after="40"/>
      </w:pPr>
    </w:p>
    <w:p>
      <w:pPr>
        <w:pStyle w:val="Heading1"/>
      </w:pPr>
      <w:r>
        <w:t>6.  6. UAT Scenarios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SGC import creates new CIs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Trigger SGC import → verify CIs created in correct class → verify attributes populated from source fields → verify no duplicate CIs created by IRE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Duplicate CI reconciliation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Introduce a duplicate CI from a second source → trigger import → verify IRE merges to single CI record → verify winning source attributes applied per priority rules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Health alert fires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Let CIs go stale beyond the configured threshold → verify CMDB Health score decrements → verify alert notification fires (if configured)</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INT-HT-15 Service Graph Connectors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