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INTERNAL · ADOPT-VS-RE-ENGINEER CHEATSHEET</w:t>
      </w:r>
    </w:p>
    <w:p>
      <w:pPr>
        <w:spacing w:before="0" w:after="40"/>
      </w:pPr>
      <w:r>
        <w:rPr>
          <w:rFonts w:ascii="Calibri" w:hAnsi="Calibri"/>
          <w:b/>
          <w:color w:val="0B1F3A"/>
          <w:sz w:val="56"/>
        </w:rPr>
        <w:t>Catalog Item</w:t>
      </w:r>
    </w:p>
    <w:p>
      <w:pPr>
        <w:spacing w:before="0" w:after="40"/>
      </w:pPr>
      <w:r>
        <w:rPr>
          <w:rFonts w:ascii="Calibri" w:hAnsi="Calibri"/>
          <w:b/>
          <w:color w:val="0B1F3A"/>
          <w:sz w:val="56"/>
        </w:rPr>
        <w:t>Rationalization</w:t>
      </w:r>
    </w:p>
    <w:p>
      <w:pPr>
        <w:spacing w:before="120" w:after="400"/>
      </w:pPr>
      <w:r>
        <w:rPr>
          <w:rFonts w:ascii="Calibri" w:hAnsi="Calibri"/>
          <w:i/>
          <w:color w:val="0D9488"/>
          <w:sz w:val="24"/>
        </w:rPr>
        <w:t>When to adopt the OOTB catalog model, when to flag an exception, and how to handle the objections</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ECS Delivery Consultants, Engagement Managers, Solution Architects</w:t>
      </w:r>
    </w:p>
    <w:p>
      <w:pPr>
        <w:spacing w:after="40"/>
      </w:pPr>
      <w:r>
        <w:rPr>
          <w:rFonts w:ascii="Calibri" w:hAnsi="Calibri"/>
          <w:b w:val="0"/>
          <w:i w:val="0"/>
          <w:color w:val="475569"/>
          <w:sz w:val="20"/>
        </w:rPr>
        <w:t>Companion to: CLT-DT-01 Catalog Item Rationalization Decision Guide · INT-TBV-03 Customization Variance Tracker</w:t>
      </w:r>
    </w:p>
    <w:p>
      <w:pPr>
        <w:spacing w:after="80"/>
      </w:pPr>
      <w:r>
        <w:rPr>
          <w:rFonts w:ascii="Calibri" w:hAnsi="Calibri"/>
          <w:b w:val="0"/>
          <w:i w:val="0"/>
          <w:color w:val="475569"/>
          <w:sz w:val="20"/>
        </w:rPr>
        <w:t>Document ID: INT-AR-01     ·     Version: 1.0     ·     Status: Released</w:t>
      </w:r>
    </w:p>
    <w:p>
      <w:pPr>
        <w:spacing w:after="280"/>
      </w:pPr>
      <w:r>
        <w:rPr>
          <w:rFonts w:ascii="Calibri" w:hAnsi="Calibri"/>
          <w:b w:val="0"/>
          <w:i/>
          <w:color w:val="475569"/>
          <w:sz w:val="20"/>
        </w:rPr>
        <w:t>Internal Use Only · Confidential</w:t>
      </w:r>
    </w:p>
    <w:p>
      <w:r>
        <w:br w:type="page"/>
      </w:r>
    </w:p>
    <w:p>
      <w:pPr>
        <w:pStyle w:val="Heading1"/>
      </w:pPr>
      <w:r>
        <w:t>How to Use This Cheatsheet</w:t>
      </w:r>
    </w:p>
    <w:p>
      <w:pPr>
        <w:spacing w:after="160" w:before="0"/>
      </w:pPr>
      <w:r>
        <w:rPr>
          <w:rFonts w:ascii="Calibri" w:hAnsi="Calibri"/>
          <w:color w:val="1A1A1A"/>
          <w:sz w:val="22"/>
        </w:rPr>
        <w:t>Use this cheatsheet during discovery conversations and workshops when a customer raises a catalog pattern that may trigger a customization request. The table below gives you the decision rule for each common pattern before the customer asks. Your job is to call Adopt proactively — not to wait for the customer to propose a custom build and then respond. Every flagged Re-engineer item goes into the Engagement Governance Triage Log (INT-TBV-03). No item gets a custom-build commitment without Delivery Manager review.</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Governance rule: Any item pattern flagged for Re-engineer goes into the Engagement Governance Triage Log before any scope commitment. No custom build without Delivery Manager review and customer sign-off.</w:t>
      </w:r>
    </w:p>
    <w:p>
      <w:r>
        <w:br w:type="page"/>
      </w:r>
    </w:p>
    <w:p>
      <w:pPr>
        <w:pStyle w:val="Heading1"/>
      </w:pPr>
      <w:r>
        <w:t>1.  Pattern Decision Table</w:t>
      </w:r>
    </w:p>
    <w:p>
      <w:pPr>
        <w:spacing w:after="160" w:before="0"/>
      </w:pPr>
      <w:r>
        <w:rPr>
          <w:rFonts w:ascii="Calibri" w:hAnsi="Calibri"/>
          <w:color w:val="1A1A1A"/>
          <w:sz w:val="22"/>
        </w:rPr>
        <w:t>For each item pattern encountered during discovery, call Adopt or flag for Re-engineer using the decision rule in the rightmost column. The Adopt path is the default; Re-engineer is the exception. Shift the burden of proof to the exception.</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Customer Pattern</w:t>
            </w:r>
          </w:p>
        </w:tc>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OOTB Adopt Path</w:t>
            </w:r>
          </w:p>
        </w:tc>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Re-engineer Trigger</w:t>
            </w:r>
          </w:p>
        </w:tc>
        <w:tc>
          <w:tcPr>
            <w:tcW w:type="dxa" w:w="426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Decision Rule</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Near-duplicate items (same service, different names or populations)</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Consolidate into one item with OOTB variables/options. Use user criteria for audience targeting.</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Distinct regulatory requirement that mandates separate record trails for each variant.</w:t>
            </w:r>
          </w:p>
        </w:tc>
        <w:tc>
          <w:tcPr>
            <w:tcW w:type="dxa" w:w="426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Adopt by default. The burden of proof is on the regulatory requirement — get it in writing before splitting.</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Items with 20+ custom fields, many unused by fulfillers</w:t>
            </w:r>
          </w:p>
        </w:tc>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Audit fields with fulfillment team. Remove non-load-bearing fields. Use OOTB variables for the survivors.</w:t>
            </w:r>
          </w:p>
        </w:tc>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Integration requirement that demands specific field payloads at submission time.</w:t>
            </w:r>
          </w:p>
        </w:tc>
        <w:tc>
          <w:tcPr>
            <w:tcW w:type="dxa" w:w="426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Adopt: prune form to load-bearing fields only. Flag integration requirement for integration-layer handling, not catalog-layer.</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Approval chains with non-standard sequencing (skip-level, parallel, conditional)</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Approval Engine handles sequential, parallel, and group approvals without customization.</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Documented regulatory or contractual requirement for approval sequence not achievable in OOTB engine.</w:t>
            </w:r>
          </w:p>
        </w:tc>
        <w:tc>
          <w:tcPr>
            <w:tcW w:type="dxa" w:w="426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Adopt the OOTB engine first. Model the customer's chain in a whiteboard session — 90% of chains fit without customization.</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Items tightly coupled to legacy integrations (ITSM, ERP, HR system)</w:t>
            </w:r>
          </w:p>
        </w:tc>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Decouple at catalog layer. Item captures the request; integration logic lives in the fulfillment workflow.</w:t>
            </w:r>
          </w:p>
        </w:tc>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Integration must receive catalog-item data at the moment of submission (sync, not async).</w:t>
            </w:r>
          </w:p>
        </w:tc>
        <w:tc>
          <w:tcPr>
            <w:tcW w:type="dxa" w:w="426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Adopt catalog item as-is. Flag integration pattern for the Integration Accelerator Pack — not a catalog problem.</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Retired items still in catalog (no submissions in 12+ months)</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Archive: remove from active catalog, map historical requests to surviving items.</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None. Retire. Full stop.</w:t>
            </w:r>
          </w:p>
        </w:tc>
        <w:tc>
          <w:tcPr>
            <w:tcW w:type="dxa" w:w="426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Always retire. Do not preserve for historical browsing — ServiceNow reporting runs against closed records, not catalog items.</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Items built from scratch that duplicate OOTB catalog items (software request, hardware request, access request)</w:t>
            </w:r>
          </w:p>
        </w:tc>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Replace with OOTB item. Map differences as options or variables within the OOTB item.</w:t>
            </w:r>
          </w:p>
        </w:tc>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Legal or compliance requirement documented in writing that cannot be met by the OOTB item.</w:t>
            </w:r>
          </w:p>
        </w:tc>
        <w:tc>
          <w:tcPr>
            <w:tcW w:type="dxa" w:w="426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Adopt the OOTB item. Most from-scratch items were built because OOTB wasn't understood, not because OOTB was insufficient.</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Items with complex visibility rules (department-gated, role-filtered, org-unit restricted)</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user criteria on catalog items + topic/category access controls in Employee Center.</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Visibility must evaluate real-time data from an external system not available in ServiceNow.</w:t>
            </w:r>
          </w:p>
        </w:tc>
        <w:tc>
          <w:tcPr>
            <w:tcW w:type="dxa" w:w="426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Adopt OOTB user criteria. If external data is needed, explore ServiceNow integration before flagging as Re-engineer.</w:t>
            </w:r>
          </w:p>
        </w:tc>
      </w:tr>
    </w:tbl>
    <w:p>
      <w:pPr>
        <w:spacing w:after="40"/>
      </w:pPr>
    </w:p>
    <w:p>
      <w:r>
        <w:br w:type="page"/>
      </w:r>
    </w:p>
    <w:p>
      <w:pPr>
        <w:pStyle w:val="Heading1"/>
      </w:pPr>
      <w:r>
        <w:t>2.  Common Objections — Consulting Response</w:t>
      </w:r>
    </w:p>
    <w:p>
      <w:pPr>
        <w:spacing w:after="160" w:before="0"/>
      </w:pPr>
      <w:r>
        <w:rPr>
          <w:rFonts w:ascii="Calibri" w:hAnsi="Calibri"/>
          <w:color w:val="1A1A1A"/>
          <w:sz w:val="22"/>
        </w:rPr>
        <w:t>These objections surface in nearly every engagement. Use the responses below verbatim or adapt to the customer's specific language. The responses are designed to acknowledge the customer's concern before redirecting to the OOTB capability.</w:t>
      </w:r>
    </w:p>
    <w:tbl>
      <w:tblPr>
        <w:tblW w:type="auto" w:w="0"/>
        <w:jc w:val="left"/>
        <w:tblLook w:firstColumn="1" w:firstRow="1" w:lastColumn="0" w:lastRow="0" w:noHBand="0" w:noVBand="1" w:val="04A0"/>
      </w:tblPr>
      <w:tblGrid>
        <w:gridCol w:w="4680"/>
        <w:gridCol w:w="4680"/>
      </w:tblGrid>
      <w:tr>
        <w:trPr>
          <w:tblHeader/>
        </w:trPr>
        <w:tc>
          <w:tcPr>
            <w:tcW w:type="dxa" w:w="57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Objection</w:t>
            </w:r>
          </w:p>
        </w:tc>
        <w:tc>
          <w:tcPr>
            <w:tcW w:type="dxa" w:w="771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Consulting Response</w:t>
            </w:r>
          </w:p>
        </w:tc>
      </w:tr>
      <w:tr>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"Our approvers need to see specific fields in the approval notification."</w:t>
            </w:r>
          </w:p>
        </w:tc>
        <w:tc>
          <w:tcPr>
            <w:tcW w:type="dxa" w:w="771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approval notifications are fully configurable — field selection, layout, and wording can all be adjusted without custom development. Confirm which fields the approver actually needs before concluding that customization is required.</w:t>
            </w:r>
          </w:p>
        </w:tc>
      </w:tr>
      <w:tr>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"We have always had separate items for VIP vs. standard users."</w:t>
            </w:r>
          </w:p>
        </w:tc>
        <w:tc>
          <w:tcPr>
            <w:tcW w:type="dxa" w:w="771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OOTB user criteria + SLA definitions handle tiered service without separate items. Consolidate the items; differentiate via SLA priority and assignment group. The user experience is identical — the back-of-house structure is cleaner.</w:t>
            </w:r>
          </w:p>
        </w:tc>
      </w:tr>
      <w:tr>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"Some items have 50+ fields. We cannot lose that data."</w:t>
            </w:r>
          </w:p>
        </w:tc>
        <w:tc>
          <w:tcPr>
            <w:tcW w:type="dxa" w:w="771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50-field forms suppress submission rates, break AI classification, and are maintained by no one. Identify the fields fulfillers actually look at — in practice, almost always fewer than 12. Move non-load-bearing fields to the notes field or a post-submission task.</w:t>
            </w:r>
          </w:p>
        </w:tc>
      </w:tr>
      <w:tr>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"Our fulfillment team needs to see each variant as a separate queue entry."</w:t>
            </w:r>
          </w:p>
        </w:tc>
        <w:tc>
          <w:tcPr>
            <w:tcW w:type="dxa" w:w="771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Assignment rules and list views handle queue differentiation without catalog-level separation. Design the fulfillment view alongside the catalog item count — agree queue design first, then see if separate items are still needed.</w:t>
            </w:r>
          </w:p>
        </w:tc>
      </w:tr>
      <w:tr>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 built these items over 10 years — changing them will break everything."</w:t>
            </w:r>
          </w:p>
        </w:tc>
        <w:tc>
          <w:tcPr>
            <w:tcW w:type="dxa" w:w="771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Rationalization does not break in-flight requests. Retired items are archived, not deleted — closed records are preserved. The migration mapping table documents the consolidation path for each item. The change is invisible to users after go-live.</w:t>
            </w:r>
          </w:p>
        </w:tc>
      </w:tr>
    </w:tbl>
    <w:p>
      <w:pPr>
        <w:spacing w:after="40"/>
      </w:pPr>
    </w:p>
    <w:p>
      <w:pPr>
        <w:spacing w:after="160" w:before="0"/>
      </w:pPr>
      <w:r>
        <w:rPr>
          <w:rFonts w:ascii="Calibri" w:hAnsi="Calibri"/>
          <w:i/>
          <w:color w:val="1A1A1A"/>
          <w:sz w:val="18"/>
        </w:rPr>
        <w:t>INT-AR-01 v1.0 · Internal Use Only · Confidential. Items flagged for Re-engineer are logged in INT-TBV-03 Customization Variance Tracker. No scope commitment without Delivery Manager review. Customer-facing companion: CLT-DT-01 Catalog Item Rationalization Decision Guide.</w:t>
      </w: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2"/>
          <wp:docPr id="1" name="Picture 1"/>
          <wp:cNvGraphicFramePr>
            <a:graphicFrameLocks noChangeAspect="1"/>
          </wp:cNvGraphicFramePr>
          <a:graphic>
            <a:graphicData uri="http://schemas.openxmlformats.org/drawingml/2006/picture">
              <pic:pic>
                <pic:nvPicPr>
                  <pic:cNvPr id="0" name="everforth_logo.png"/>
                  <pic:cNvPicPr/>
                </pic:nvPicPr>
                <pic:blipFill>
                  <a:blip r:embed="rId1"/>
                  <a:stretch>
                    <a:fillRect/>
                  </a:stretch>
                </pic:blipFill>
                <pic:spPr>
                  <a:xfrm>
                    <a:off x="0" y="0"/>
                    <a:ext cx="960120" cy="178932"/>
                  </a:xfrm>
                  <a:prstGeom prst="rect"/>
                </pic:spPr>
              </pic:pic>
            </a:graphicData>
          </a:graphic>
        </wp:inline>
      </w:drawing>
    </w:r>
    <w:r>
      <w:tab/>
    </w:r>
    <w:r>
      <w:rPr>
        <w:rFonts w:ascii="Calibri" w:hAnsi="Calibri"/>
        <w:color w:val="475569"/>
        <w:spacing w:val="30"/>
        <w:sz w:val="18"/>
      </w:rPr>
      <w:t>Internal · Adopt-vs-Re-engineer · Catalog Item Rationalization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