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ADOPT-VS-RE-ENGINEER CHEATSHEET</w:t>
      </w:r>
    </w:p>
    <w:p>
      <w:pPr>
        <w:spacing w:before="0" w:after="40"/>
      </w:pPr>
      <w:r>
        <w:rPr>
          <w:rFonts w:ascii="Calibri" w:hAnsi="Calibri"/>
          <w:b/>
          <w:color w:val="0B1F3A"/>
          <w:sz w:val="56"/>
        </w:rPr>
        <w:t>Category Structure</w:t>
      </w:r>
    </w:p>
    <w:p>
      <w:pPr>
        <w:spacing w:before="0" w:after="40"/>
      </w:pPr>
      <w:r>
        <w:rPr>
          <w:rFonts w:ascii="Calibri" w:hAnsi="Calibri"/>
          <w:b/>
          <w:color w:val="0B1F3A"/>
          <w:sz w:val="56"/>
        </w:rPr>
        <w:t>Simplification</w:t>
      </w:r>
    </w:p>
    <w:p>
      <w:pPr>
        <w:spacing w:before="120" w:after="400"/>
      </w:pPr>
      <w:r>
        <w:rPr>
          <w:rFonts w:ascii="Calibri" w:hAnsi="Calibri"/>
          <w:i/>
          <w:color w:val="0D9488"/>
          <w:sz w:val="24"/>
        </w:rPr>
        <w:t>When to adopt the OOTB Employee Center taxonomy, when to flag an exception, and how to handle the objections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Delivery Consultants, Engagement Managers, Solution Architects</w:t>
      </w:r>
    </w:p>
    <w:p>
      <w:pPr>
        <w:spacing w:after="40"/>
      </w:pPr>
      <w:r>
        <w:rPr>
          <w:rFonts w:ascii="Calibri" w:hAnsi="Calibri"/>
          <w:b w:val="0"/>
          <w:i w:val="0"/>
          <w:color w:val="475569"/>
          <w:sz w:val="20"/>
        </w:rPr>
        <w:t>Companion to: CLT-DT-02 Category Structure Simplification Decision Guide · INT-TBV-03 Customization Variance Tracker</w:t>
      </w:r>
    </w:p>
    <w:p>
      <w:pPr>
        <w:spacing w:after="80"/>
      </w:pPr>
      <w:r>
        <w:rPr>
          <w:rFonts w:ascii="Calibri" w:hAnsi="Calibri"/>
          <w:b w:val="0"/>
          <w:i w:val="0"/>
          <w:color w:val="475569"/>
          <w:sz w:val="20"/>
        </w:rPr>
        <w:t>Document ID: INT-AR-02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Cheatsheet</w:t>
      </w:r>
    </w:p>
    <w:p>
      <w:pPr>
        <w:spacing w:after="160" w:before="0"/>
      </w:pPr>
      <w:r>
        <w:rPr>
          <w:rFonts w:ascii="Calibri" w:hAnsi="Calibri"/>
          <w:color w:val="1A1A1A"/>
          <w:sz w:val="22"/>
        </w:rPr>
        <w:t>Use this cheatsheet when a customer's existing category structure is being reviewed for the new Employee Center portal. The most common failure mode is carrying the old taxonomy forward unchanged — a taxonomy built for a five-level menu will not perform in Employee Center's search-and-browse model. Your job is to drive toward a simplified taxonomy proactively. Call out category bloat before the customer defends each node. Every Re-engineer flag goes into the Engagement Governance Triage Log.</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Governance rule: Any item pattern flagged for Re-engineer goes into the Engagement Governance Triage Log before any scope commitment. No custom build without Delivery Manager review and customer sign-off.</w:t>
      </w:r>
    </w:p>
    <w:p>
      <w:r>
        <w:br w:type="page"/>
      </w:r>
    </w:p>
    <w:p>
      <w:pPr>
        <w:pStyle w:val="Heading1"/>
      </w:pPr>
      <w:r>
        <w:t>1.  Pattern Decision Table</w:t>
      </w:r>
    </w:p>
    <w:p>
      <w:pPr>
        <w:spacing w:after="160" w:before="0"/>
      </w:pPr>
      <w:r>
        <w:rPr>
          <w:rFonts w:ascii="Calibri" w:hAnsi="Calibri"/>
          <w:color w:val="1A1A1A"/>
          <w:sz w:val="22"/>
        </w:rPr>
        <w:t>For each item pattern encountered during discovery, call Adopt or flag for Re-engineer using the decision rule in the rightmost column. The Adopt path is the default; Re-engineer is the exception. Shift the burden of proof to the exception.</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Customer Pattern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Adopt Path</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Re-engineer Trigger</w:t>
            </w:r>
          </w:p>
        </w:tc>
        <w:tc>
          <w:tcPr>
            <w:tcW w:type="dxa" w:w="426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Decision Rule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Category hierarchy deeper than 3 levels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Employee Center supports 3 levels natively. Flatten to: Domain &gt; Category &gt; Subcategory.</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Regulatory requirement to restrict category visibility by org unit that cannot be met with 3-level structure.</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3-level max. Use OOTB user criteria and topic access controls for audience targeting — depth is not the answer.</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Top-level category count &gt; 20</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Employee Center performs best with 12-18 top-level categories. Consolidate by service domain.</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None. No regulatory or contractual driver justifies category count &gt; 20.</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target 12-18 top-level categories. Use search and topic taxonomy to compensate for any perceived loss of granularity.</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Duplicate categories across service areas (e.g., 'IT Requests' and 'IT Support' and 'IT Help')</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One canonical category per service domain. Merge duplicates; redirect to the canonical.</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None. Duplicates are always consolidatable.</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consolidate without exception. Duplicate categories are a usability failure, not a design feature.</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Category names reflect IT org structure rather than user language (e.g., 'Infrastructure Services', 'Enterprise Applications')</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Rename to match user mental model: 'Computers &amp; Devices', 'Software &amp; Apps'. OOTB taxonomy is fully configurable.</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None.</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user language always wins. Conduct a 5-minute card sort in the workshop if the team disagrees.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Categories with fewer than 5 items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Consolidate into parent or adjacent category. Items too few to warrant a category belong in a broader bucket.</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None. Category count is never a compliance requirement.</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collapse categories with &lt; 5 items. The exception would be a category expected to grow — document the growth plan.</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Department-specific sub-portals demanded by each business unit</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Employee Center supports audience-targeted landing pages within a single portal. No separate instances needed.</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Regulatory separation requiring distinct portal instances (rare; typically only in defense/classified contexts).</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single portal with audience targeting. Separate portals multiply maintenance burden and fragment the user experience.</w:t>
            </w:r>
          </w:p>
        </w:tc>
      </w:tr>
    </w:tbl>
    <w:p>
      <w:pPr>
        <w:spacing w:after="40"/>
      </w:pPr>
    </w:p>
    <w:p>
      <w:r>
        <w:br w:type="page"/>
      </w:r>
    </w:p>
    <w:p>
      <w:pPr>
        <w:pStyle w:val="Heading1"/>
      </w:pPr>
      <w:r>
        <w:t>2.  Common Objections — Consulting Response</w:t>
      </w:r>
    </w:p>
    <w:p>
      <w:pPr>
        <w:spacing w:after="160" w:before="0"/>
      </w:pPr>
      <w:r>
        <w:rPr>
          <w:rFonts w:ascii="Calibri" w:hAnsi="Calibri"/>
          <w:color w:val="1A1A1A"/>
          <w:sz w:val="22"/>
        </w:rPr>
        <w:t>These objections surface in nearly every engagement. Use the responses below verbatim or adapt to the customer's specific language. The responses are designed to acknowledge the customer's concern before redirecting to the OOTB capability.</w:t>
      </w:r>
    </w:p>
    <w:tbl>
      <w:tblPr>
        <w:tblW w:type="auto" w:w="0"/>
        <w:jc w:val="left"/>
        <w:tblLook w:firstColumn="1" w:firstRow="1" w:lastColumn="0" w:lastRow="0" w:noHBand="0" w:noVBand="1" w:val="04A0"/>
      </w:tblPr>
      <w:tblGrid>
        <w:gridCol w:w="4680"/>
        <w:gridCol w:w="4680"/>
      </w:tblGrid>
      <w:tr>
        <w:trPr>
          <w:tblHeader/>
        </w:trPr>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Objection</w:t>
            </w:r>
          </w:p>
        </w:tc>
        <w:tc>
          <w:tcPr>
            <w:tcW w:type="dxa" w:w="771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Consulting Response</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"Each team needs their own category."</w:t>
            </w:r>
          </w:p>
        </w:tc>
        <w:tc>
          <w:tcPr>
            <w:tcW w:type="dxa" w:w="77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Teams get assignment rules and groups, not categories. Categories are for users — they describe what you can request, not which team handles it. Reassign the team model to the fulfillment layer where it belongs.</w:t>
            </w:r>
          </w:p>
        </w:tc>
      </w:tr>
      <w:tr>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 cannot combine IT and HR items in the same navigation."</w:t>
            </w:r>
          </w:p>
        </w:tc>
        <w:tc>
          <w:tcPr>
            <w:tcW w:type="dxa" w:w="77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topic taxonomy separates content by department at the topic level without requiring separate top-level categories. Employee Center's audience targeting delivers the right content to the right user — the structure doesn't have to mirror the org chart.</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"Our current taxonomy has 6 levels. Users know how to navigate it."</w:t>
            </w:r>
          </w:p>
        </w:tc>
        <w:tc>
          <w:tcPr>
            <w:tcW w:type="dxa" w:w="77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Some users may know the current taxonomy because they learned it over years. New users don't. Employee Center users search first; they browse only if search fails. A 6-level taxonomy that requires prior knowledge will underperform in a search-first model.</w:t>
            </w:r>
          </w:p>
        </w:tc>
      </w:tr>
      <w:tr>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"If we collapse categories, users will not find things."</w:t>
            </w:r>
          </w:p>
        </w:tc>
        <w:tc>
          <w:tcPr>
            <w:tcW w:type="dxa" w:w="77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opposite is the finding from nearly every engagement. Fewer, clearer categories with strong naming improve findability because search doesn't have to compete with a confusing hierarchy. The data will show this — pull pre/post search success rates from your most recent go-live.</w:t>
            </w:r>
          </w:p>
        </w:tc>
      </w:tr>
    </w:tbl>
    <w:p>
      <w:pPr>
        <w:spacing w:after="40"/>
      </w:pPr>
    </w:p>
    <w:p>
      <w:pPr>
        <w:spacing w:after="160" w:before="0"/>
      </w:pPr>
      <w:r>
        <w:rPr>
          <w:rFonts w:ascii="Calibri" w:hAnsi="Calibri"/>
          <w:i/>
          <w:color w:val="1A1A1A"/>
          <w:sz w:val="18"/>
        </w:rPr>
        <w:t>INT-AR-02 v1.0 · Internal Use Only · Confidential. Items flagged for Re-engineer are logged in INT-TBV-03 Customization Variance Tracker. No scope commitment without Delivery Manager review. Customer-facing companion: CLT-DT-02 Category Structure Simplification Decision Guide.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Adopt-vs-Re-engineer · Category Structure Simplification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