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ADOPT-VS-RE-ENGINEER CHEATSHEET</w:t>
      </w:r>
    </w:p>
    <w:p>
      <w:pPr>
        <w:spacing w:before="0" w:after="40"/>
      </w:pPr>
      <w:r>
        <w:rPr>
          <w:rFonts w:ascii="Calibri" w:hAnsi="Calibri"/>
          <w:b/>
          <w:color w:val="0B1F3A"/>
          <w:sz w:val="56"/>
        </w:rPr>
        <w:t>SLA Discipline</w:t>
      </w:r>
    </w:p>
    <w:p>
      <w:pPr>
        <w:spacing w:before="120" w:after="400"/>
      </w:pPr>
      <w:r>
        <w:rPr>
          <w:rFonts w:ascii="Calibri" w:hAnsi="Calibri"/>
          <w:i/>
          <w:color w:val="0D9488"/>
          <w:sz w:val="24"/>
        </w:rPr>
        <w:t>When to adopt OOTB SLA definitions, when to flag an exception, and how to handle the objections</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ECS Delivery Consultants, Engagement Managers, Solution Architects</w:t>
      </w:r>
    </w:p>
    <w:p>
      <w:pPr>
        <w:spacing w:after="40"/>
      </w:pPr>
      <w:r>
        <w:rPr>
          <w:rFonts w:ascii="Calibri" w:hAnsi="Calibri"/>
          <w:b w:val="0"/>
          <w:i w:val="0"/>
          <w:color w:val="475569"/>
          <w:sz w:val="20"/>
        </w:rPr>
        <w:t>Companion to: CLT-DT-03 SLA Discipline Decision Guide · INT-TBV-03 Customization Variance Tracker</w:t>
      </w:r>
    </w:p>
    <w:p>
      <w:pPr>
        <w:spacing w:after="80"/>
      </w:pPr>
      <w:r>
        <w:rPr>
          <w:rFonts w:ascii="Calibri" w:hAnsi="Calibri"/>
          <w:b w:val="0"/>
          <w:i w:val="0"/>
          <w:color w:val="475569"/>
          <w:sz w:val="20"/>
        </w:rPr>
        <w:t>Document ID: INT-AR-03     ·     Version: 1.0     ·     Status: Released</w:t>
      </w:r>
    </w:p>
    <w:p>
      <w:pPr>
        <w:spacing w:after="280"/>
      </w:pPr>
      <w:r>
        <w:rPr>
          <w:rFonts w:ascii="Calibri" w:hAnsi="Calibri"/>
          <w:b w:val="0"/>
          <w:i/>
          <w:color w:val="475569"/>
          <w:sz w:val="20"/>
        </w:rPr>
        <w:t>Internal Use Only · Confidential</w:t>
      </w:r>
    </w:p>
    <w:p>
      <w:r>
        <w:br w:type="page"/>
      </w:r>
    </w:p>
    <w:p>
      <w:pPr>
        <w:pStyle w:val="Heading1"/>
      </w:pPr>
      <w:r>
        <w:t>How to Use This Cheatsheet</w:t>
      </w:r>
    </w:p>
    <w:p>
      <w:pPr>
        <w:spacing w:after="160" w:before="0"/>
      </w:pPr>
      <w:r>
        <w:rPr>
          <w:rFonts w:ascii="Calibri" w:hAnsi="Calibri"/>
          <w:color w:val="1A1A1A"/>
          <w:sz w:val="22"/>
        </w:rPr>
        <w:t>SLA configurations are one of the most common sources of unnecessary complexity in ServiceNow implementations. Customers arrive with 80-200 SLA definitions accumulated over years; OOTB best practice is 8-15. Your job is to drive toward simplification before the workshop. Every SLA definition a customer carries forward is a maintenance obligation they will own forever. Use this cheatsheet to call the adopt path before the customer proposes a custom SLA definition. Every Re-engineer flag goes into the Engagement Governance Triage Log.</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Governance rule: Any item pattern flagged for Re-engineer goes into the Engagement Governance Triage Log before any scope commitment. No custom build without Delivery Manager review and customer sign-off.</w:t>
      </w:r>
    </w:p>
    <w:p>
      <w:r>
        <w:br w:type="page"/>
      </w:r>
    </w:p>
    <w:p>
      <w:pPr>
        <w:pStyle w:val="Heading1"/>
      </w:pPr>
      <w:r>
        <w:t>1.  Pattern Decision Table</w:t>
      </w:r>
    </w:p>
    <w:p>
      <w:pPr>
        <w:spacing w:after="160" w:before="0"/>
      </w:pPr>
      <w:r>
        <w:rPr>
          <w:rFonts w:ascii="Calibri" w:hAnsi="Calibri"/>
          <w:color w:val="1A1A1A"/>
          <w:sz w:val="22"/>
        </w:rPr>
        <w:t>For each item pattern encountered during discovery, call Adopt or flag for Re-engineer using the decision rule in the rightmost column. The Adopt path is the default; Re-engineer is the exception. Shift the burden of proof to the exception.</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Customer Pattern</w:t>
            </w:r>
          </w:p>
        </w:tc>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OOTB Adopt Path</w:t>
            </w:r>
          </w:p>
        </w:tc>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Re-engineer Trigger</w:t>
            </w:r>
          </w:p>
        </w:tc>
        <w:tc>
          <w:tcPr>
            <w:tcW w:type="dxa" w:w="426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Decision Rule</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SLA count &gt; 30 definitions across incident, request, and change</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Consolidate to a priority-based matrix: P1/P2/P3/P4 x business-hours/24-7. OOTB SLA engine supports this natively.</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Contractual SLAs tied to specific service areas that are documented in a customer agreement and cannot be subsumed into priority tiers.</w:t>
            </w:r>
          </w:p>
        </w:tc>
        <w:tc>
          <w:tcPr>
            <w:tcW w:type="dxa" w:w="426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Adopt: start with 8-12 definitions. Add service-specific SLAs only where a signed contract requires it — and get the contract clause.</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SLA targets tighter than the team can realistically meet (e.g., 30-min response for P3)</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SLA reporting will surface compliance rates immediately. Reset targets to what the team can meet, then improve.</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Contractual obligation with financial penalty for breach — already signed.</w:t>
            </w:r>
          </w:p>
        </w:tc>
        <w:tc>
          <w:tcPr>
            <w:tcW w:type="dxa" w:w="426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Adopt realistic targets first. Pull 90-day historical data from the current system. SLAs the team never meets are not SLAs — they are failure documentation.</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Business-hours SLAs mixed with 24/7 SLAs without calendar control</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SLA schedules with business-hours calendars handle the mix natively. Define business hours calendar in Sprint 0.</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None. OOTB schedule handles all standard business hours patterns.</w:t>
            </w:r>
          </w:p>
        </w:tc>
        <w:tc>
          <w:tcPr>
            <w:tcW w:type="dxa" w:w="426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Adopt: define business hours calendar early. This is a Sprint 0 data item, not a customization.</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SLAs that reset the clock on reassignment</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SLA pause/resume handles reassignment scenarios. Pause on reassignment, resume when new group accepts.</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Contractual requirement that the SLA clock runs continuously through reassignment (documented in a signed agreement).</w:t>
            </w:r>
          </w:p>
        </w:tc>
        <w:tc>
          <w:tcPr>
            <w:tcW w:type="dxa" w:w="426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Adopt pause/resume. This is the correct operational model in nearly all cases — it incentivizes clean routing.</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SLA definitions without escalation paths</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Every OOTB SLA definition should have an escalation notification at 50% and 75% of target. OOTB notification engine handles this.</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None. Escalation is always appropriate.</w:t>
            </w:r>
          </w:p>
        </w:tc>
        <w:tc>
          <w:tcPr>
            <w:tcW w:type="dxa" w:w="426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Adopt: no SLA definition ships without escalation. An SLA without an escalation is a breach waiting to happen with no warning.</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SLAs applied to change records without regard to change type (Normal, Standard, Emergency)</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change management distinguishes change types; SLA application should follow type. Emergency change gets a different SLA than Normal change.</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None. OOTB change type SLA mapping is the correct model.</w:t>
            </w:r>
          </w:p>
        </w:tc>
        <w:tc>
          <w:tcPr>
            <w:tcW w:type="dxa" w:w="426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Adopt: define SLAs by change type, not by a single change SLA. The distinction already exists in OOTB change management.</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SLAs with complex conditions (VIP caller, specific department, asset class)</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SLA conditions support attribute-based triggering. VIP caller, department, and CI class are native conditions.</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Condition requires real-time data from an external system not available in ServiceNow at the time of record creation.</w:t>
            </w:r>
          </w:p>
        </w:tc>
        <w:tc>
          <w:tcPr>
            <w:tcW w:type="dxa" w:w="426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Adopt: model conditions in the SLA definition using OOTB fields. External data dependency goes in the Integration Accelerator Pack.</w:t>
            </w:r>
          </w:p>
        </w:tc>
      </w:tr>
    </w:tbl>
    <w:p>
      <w:pPr>
        <w:spacing w:after="40"/>
      </w:pPr>
    </w:p>
    <w:p>
      <w:r>
        <w:br w:type="page"/>
      </w:r>
    </w:p>
    <w:p>
      <w:pPr>
        <w:pStyle w:val="Heading1"/>
      </w:pPr>
      <w:r>
        <w:t>2.  Common Objections — Consulting Response</w:t>
      </w:r>
    </w:p>
    <w:p>
      <w:pPr>
        <w:spacing w:after="160" w:before="0"/>
      </w:pPr>
      <w:r>
        <w:rPr>
          <w:rFonts w:ascii="Calibri" w:hAnsi="Calibri"/>
          <w:color w:val="1A1A1A"/>
          <w:sz w:val="22"/>
        </w:rPr>
        <w:t>These objections surface in nearly every engagement. Use the responses below verbatim or adapt to the customer's specific language. The responses are designed to acknowledge the customer's concern before redirecting to the OOTB capability.</w:t>
      </w:r>
    </w:p>
    <w:tbl>
      <w:tblPr>
        <w:tblW w:type="auto" w:w="0"/>
        <w:jc w:val="left"/>
        <w:tblLook w:firstColumn="1" w:firstRow="1" w:lastColumn="0" w:lastRow="0" w:noHBand="0" w:noVBand="1" w:val="04A0"/>
      </w:tblPr>
      <w:tblGrid>
        <w:gridCol w:w="4680"/>
        <w:gridCol w:w="4680"/>
      </w:tblGrid>
      <w:tr>
        <w:trPr>
          <w:tblHeader/>
        </w:trPr>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Objection</w:t>
            </w:r>
          </w:p>
        </w:tc>
        <w:tc>
          <w:tcPr>
            <w:tcW w:type="dxa" w:w="771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Consulting Response</w:t>
            </w:r>
          </w:p>
        </w:tc>
      </w:tr>
      <w:tr>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"Our SLAs are unique to each service — we cannot standardize."</w:t>
            </w:r>
          </w:p>
        </w:tc>
        <w:tc>
          <w:tcPr>
            <w:tcW w:type="dxa" w:w="771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claim that every service needs a unique SLA is almost always based on historical practice, not current requirement. Priority tiers handle 80-90% of SLA variation. Ask the customer: what is the consequence of a P2 breach for Service A vs. Service B? If the answer is the same, they don't need different SLAs.</w:t>
            </w:r>
          </w:p>
        </w:tc>
      </w:tr>
      <w:tr>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"The business expects 2-hour response for all P2 items."</w:t>
            </w:r>
          </w:p>
        </w:tc>
        <w:tc>
          <w:tcPr>
            <w:tcW w:type="dxa" w:w="771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Pull the last 90 days of P2 SLA compliance from their current system. In most environments, 2-hour P2 response is below 60% compliance. Setting a target you cannot meet is not a service commitment — it is a documented failure. Reset the target to what the team can actually deliver, then build toward the aspirational target.</w:t>
            </w:r>
          </w:p>
        </w:tc>
      </w:tr>
      <w:tr>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cannot change SLAs without executive approval."</w:t>
            </w:r>
          </w:p>
        </w:tc>
        <w:tc>
          <w:tcPr>
            <w:tcW w:type="dxa" w:w="771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Agreed — and the SLA workshop agenda includes executive sign-off. Frame the conversation as a compliance discussion, not a target reduction. 'We are recommending targets your team can actually meet and report green on, with a roadmap to tighten them as operations mature.' Executives respond to that framing.</w:t>
            </w:r>
          </w:p>
        </w:tc>
      </w:tr>
      <w:tr>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"We need SLAs on everything — catalog items, changes, incidents, problems, even tasks."</w:t>
            </w:r>
          </w:p>
        </w:tc>
        <w:tc>
          <w:tcPr>
            <w:tcW w:type="dxa" w:w="771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SLAs on every record type is a sign that the monitoring instinct is sound but the tooling decision is wrong. For tasks and sub-records, use SLA on the parent record and time-tracking on the task. Multiplying SLA definitions multiplies false breaches, alert fatigue, and reporting noise.</w:t>
            </w:r>
          </w:p>
        </w:tc>
      </w:tr>
    </w:tbl>
    <w:p>
      <w:pPr>
        <w:spacing w:after="40"/>
      </w:pPr>
    </w:p>
    <w:p>
      <w:pPr>
        <w:spacing w:after="160" w:before="0"/>
      </w:pPr>
      <w:r>
        <w:rPr>
          <w:rFonts w:ascii="Calibri" w:hAnsi="Calibri"/>
          <w:i/>
          <w:color w:val="1A1A1A"/>
          <w:sz w:val="18"/>
        </w:rPr>
        <w:t>INT-AR-03 v1.0 · Internal Use Only · Confidential. Items flagged for Re-engineer are logged in INT-TBV-03 Customization Variance Tracker. No scope commitment without Delivery Manager review. Customer-facing companion: CLT-DT-03 SLA Discipline Decision Guide.</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Adopt-vs-Re-engineer · SLA Discipline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