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ADOPT-VS-RE-ENGINEER CHEATSHEET</w:t>
      </w:r>
    </w:p>
    <w:p>
      <w:pPr>
        <w:spacing w:before="0" w:after="40"/>
      </w:pPr>
      <w:r>
        <w:rPr>
          <w:rFonts w:ascii="Calibri" w:hAnsi="Calibri"/>
          <w:b/>
          <w:color w:val="0B1F3A"/>
          <w:sz w:val="56"/>
        </w:rPr>
        <w:t>INT-AR-04</w:t>
      </w:r>
    </w:p>
    <w:p>
      <w:pPr>
        <w:spacing w:before="0" w:after="40"/>
      </w:pPr>
      <w:r>
        <w:rPr>
          <w:rFonts w:ascii="Calibri" w:hAnsi="Calibri"/>
          <w:b/>
          <w:color w:val="0B1F3A"/>
          <w:sz w:val="56"/>
        </w:rPr>
        <w:t>Event Management</w:t>
      </w:r>
    </w:p>
    <w:p>
      <w:pPr>
        <w:spacing w:before="120" w:after="400"/>
      </w:pPr>
      <w:r>
        <w:rPr>
          <w:rFonts w:ascii="Calibri" w:hAnsi="Calibri"/>
          <w:i/>
          <w:color w:val="0D9488"/>
          <w:sz w:val="24"/>
        </w:rPr>
        <w:t>Pattern decision table for event sources, alert rules, CI correlation, and alert-to-incident promotion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AP-08 Event Management Foundations Pack · INT-FG-02 Sprint 3 Incident Facilitator Guide</w:t>
      </w:r>
    </w:p>
    <w:p>
      <w:pPr>
        <w:spacing w:after="80"/>
      </w:pPr>
      <w:r>
        <w:rPr>
          <w:rFonts w:ascii="Calibri" w:hAnsi="Calibri"/>
          <w:b w:val="0"/>
          <w:i w:val="0"/>
          <w:color w:val="475569"/>
          <w:sz w:val="20"/>
        </w:rPr>
        <w:t>Document ID: INT-AR-04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Cheatsheet</w:t>
      </w:r>
    </w:p>
    <w:p>
      <w:pPr>
        <w:spacing w:after="160" w:before="0"/>
      </w:pPr>
      <w:r>
        <w:rPr>
          <w:rFonts w:ascii="Calibri" w:hAnsi="Calibri"/>
          <w:color w:val="1A1A1A"/>
          <w:sz w:val="22"/>
        </w:rPr>
        <w:t>Use this cheatsheet during Event Management discovery and Sprint 0-1 configuration sessions. Every pattern listed here has appeared in at least three prior ECS engagements. The Adopt path is the OOTB answer. The Re-engineer trigger is the narrow set of circumstances where OOTB genuinely cannot meet the requirement. Most of the time, the customer's resistance to the Adopt path is familiarity bias, not a genuine OOTB limitation.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Governance rule: Any item pattern flagged for Re-engineer goes into the Engagement Governance Triage Log before any scope commitment. No custom build without Delivery Manager review and customer sign-off.</w:t>
      </w:r>
    </w:p>
    <w:p>
      <w:r>
        <w:br w:type="page"/>
      </w:r>
    </w:p>
    <w:p>
      <w:pPr>
        <w:pStyle w:val="Heading1"/>
      </w:pPr>
      <w:r>
        <w:t>1.  Pattern Decision Table</w:t>
      </w:r>
    </w:p>
    <w:p>
      <w:pPr>
        <w:spacing w:after="160" w:before="0"/>
      </w:pPr>
      <w:r>
        <w:rPr>
          <w:rFonts w:ascii="Calibri" w:hAnsi="Calibri"/>
          <w:color w:val="1A1A1A"/>
          <w:sz w:val="22"/>
        </w:rPr>
        <w:t>For each pattern encountered during Event Management discovery or workshops, call Adopt or flag for Re-engineer using the decision rule in the rightmost column. The Adopt path is the default — shift the burden of proof to the exception.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Pattern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Adopt Path</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Re-engineer Trigger</w:t>
            </w:r>
          </w:p>
        </w:tc>
        <w:tc>
          <w:tcPr>
            <w:tcW w:type="dxa" w:w="426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to send pre-correlated alerts from the monitoring tool directly (not raw events).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Send raw events to em_event. ServiceNow Event Management correlation engine produces the alert layer from raw events.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never. Pre-correlated input bypasses the em_event table, breaking the correlation engine, CI correlation, and the CMDB-backed alert lifecycle.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always. If the monitoring tool cannot send raw events, configure it to send raw before the connector build. Pre-correlated input is an architecture error, not a configuration choice.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one service account for all monitoring tool connectors.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Dedicate one service account per monitoring tool source (svc_em_[tool]). OOTB audit trails per source depend on this.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Shared credentials across sources make audit trails meaningless and create a single point of credential failure.</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Customer IT security may resist creating multiple accounts — explain the audit trail requirement.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to route events from a SaaS monitoring tool (e.g., Datadog) without a MID Server.</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Direct REST push from Datadog to ServiceNow em_event REST API endpoint. No MID Server required for cloud-to-cloud.</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not applicable. Direct REST is OOTB — this is the right architecture for cloud-native sources.</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always for cloud-native tools with direct internet access to ServiceNow.</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to add custom columns to the em_event table for tool-specific metadata.</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the OOTB additional_info (JSON) field on em_event. Tool-specific metadata is stored as JSON and surfaced via transform rules.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if: the metadata requires indexed database queries for performance-sensitive reporting (extremely rare). Even then, promote to em_alert, not em_event.</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for all metadata that does not require indexed querying. Never add columns to em_event — it is a high-volume transient table and schema changes degrade index performance.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to suppress all events during maintenance windows globally.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OOTB em_maintenance_schedule: suppress by CI + time window, not globally by time. All other events process normally.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if: customer has a contractual requirement for zero alert generation during defined maintenance periods (e.g., change freeze windows). Even then, scope the suppression to specific CIs, not globally.</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for most cases. Global time-based suppression hides real incidents during maintenance windows. Suppress selectively by CI + window.</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event rules to be different per environment (prod vs. non-prod).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CI attribute filtering in OOTB event rules: check cmdb_ci.environment and apply different rule logic within the same rule set.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Separate rule sets per environment double maintenance burden and cause rules to drift out of sync over time.</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Environment-aware filtering within a single rule set is more maintainable than separate rule sets.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Customer's monitoring tool identifies CIs by a custom tag or property not in the CMDB.</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 the custom identifier as a CI attribute and configure a CI Identifier Rule to lookup by that attribute. OOTB CI identifier rules support any cmdb_ci attribute.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if: the identifier is too dynamic or transient to store reliably in the CMDB (e.g., rotating container IDs). In that case, use additional_info for metadata and accept lower correlation rates for dynamic infrastructure.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if the identifier is stable enough to store in the CMDB. Flag dynamic infrastructure as a Phase 2 Discovery/cloud connector item.</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Event Management to auto-create CMDB CIs when an event arrives for an unknown node.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Route uncorrelated events to the Event Triage assignment group. Use Discovery or import to add missing CIs from the triage queue analysis.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Auto-creating CIs from event data produces low-quality records with no ownership, no lifecycle data, and no relationships.</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The triage queue is the safety net and the CMDB improvement driver. Show customers the triage-to-CMDB improvement loop.</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every alert to auto-create an incident, including Severity 4 and 5.</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the OOTB operator workspace for Severity 4-5 alerts. Operators review and manually promote if warranted. Auto-promote Severity 1-2 only.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if: regulatory requirement mandates an ITSM record for every alert. Even then, route low-severity auto-promotions to a dedicated low-priority queue.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for all cases without a regulatory mandate. Auto-promoting Severity 4-5 fills the incident queue with non-actionable records within hours.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auto-resolved incidents to reach Closed state immediately (not Resolved).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Auto-resolve to Resolved state (state = 6). Closed state (state = 7) requires closure confirmation. Resolved is the correct landing state for auto-resolution.</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if: customer has explicitly removed the closure confirmation step from their Incident workflow AND has a named owner for the resulting audit gap.</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for all standard deployments. Closed without closure confirmation is a governance risk. Resolved is correct and operationally appropriate.</w:t>
            </w:r>
          </w:p>
        </w:tc>
      </w:tr>
    </w:tbl>
    <w:p>
      <w:pPr>
        <w:spacing w:after="40"/>
      </w:pPr>
    </w:p>
    <w:p>
      <w:r>
        <w:br w:type="page"/>
      </w:r>
    </w:p>
    <w:p>
      <w:pPr>
        <w:pStyle w:val="Heading1"/>
      </w:pPr>
      <w:r>
        <w:t>2.  Common Objections — Consulting Response</w:t>
      </w:r>
    </w:p>
    <w:p>
      <w:pPr>
        <w:spacing w:after="160" w:before="0"/>
      </w:pPr>
      <w:r>
        <w:rPr>
          <w:rFonts w:ascii="Calibri" w:hAnsi="Calibri"/>
          <w:color w:val="1A1A1A"/>
          <w:sz w:val="22"/>
        </w:rPr>
        <w:t>These objections surface in nearly every Event Management engagement. Use the responses below verbatim or adapt to the customer's language.</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Consulting Response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monitoring tool already correlates alerts. Why does ServiceNow need to do it again?'</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correlates alerts across all tools into a single operator view, links them to CMDB CIs, and drives automated incident creation — none of which the individual monitoring tool can do across the full stack. The monitoring tool is excellent at detecting issues in its domain. ServiceNow is where all those domains meet. Keep both — each does what it is best at.</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will lose visibility during maintenance windows if ServiceNow suppresses events.'</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are not suppressing globally — we are suppressing by CI and by window. Every CI that is not in a confirmed maintenance window continues to generate alerts normally. The only events suppressed are the ones you have explicitly told us are expected. Unexpected events during maintenance windows still produce alerts.</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is too complex — our monitoring tool uses hostnames that don't match CMDB names.'</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This is the most common CI correlation challenge, and OOTB CI Identifier Rules handle it. We configure a secondary identifier rule that matches the monitoring tool's hostname format to the CMDB attribute that stores it (fqdn, asset_tag, or a custom attribute). The gap analysis report shows us exactly which hostnames are failing correlation — that is our CMDB remediation list for Phase 2.</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we auto-promote every Severity 3 alert, the incident queue will be flooded.'</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That is why we use the 15-minute delay rule for Severity 3: auto-promote only if the alert is still open and unacknowledged after 15 minutes. An operator who sees a Severity 3 alert and acknowledges it within 15 minutes has decided it does not need an incident yet — and the system agrees. The auto-promotion is the safety net for alerts that fall through the cracks.</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to track which monitoring tool created each alert for reporting.'</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source field on em_alert is populated automatically from the event source configuration. Every alert has a source field that identifies the monitoring tool. OOTB Incident dashboards can be filtered or grouped by source. No custom development required.</w:t>
            </w:r>
          </w:p>
        </w:tc>
      </w:tr>
    </w:tbl>
    <w:p>
      <w:pPr>
        <w:spacing w:after="40"/>
      </w:pPr>
    </w:p>
    <w:p>
      <w:r>
        <w:br w:type="page"/>
      </w:r>
    </w:p>
    <w:p>
      <w:pPr>
        <w:pStyle w:val="Heading1"/>
      </w:pPr>
      <w:r>
        <w:t>Field Notes</w:t>
      </w:r>
    </w:p>
    <w:p>
      <w:pPr>
        <w:spacing w:after="160" w:before="0"/>
      </w:pPr>
      <w:r>
        <w:rPr>
          <w:rFonts w:ascii="Calibri" w:hAnsi="Calibri"/>
          <w:color w:val="1A1A1A"/>
          <w:sz w:val="22"/>
        </w:rPr>
        <w:t>Key reference: AP-08 Event Management Foundations Accelerator Pack — workbooks 01 through 06 contain the detailed configuration decisions for every pattern in this table. When a pattern falls to Re-engineer, document it in the Engagement Governance Triage Log (INT-TBV-03) with the business justification and the scope impact estimate before any configuration work begins.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Adopt-vs-Re-engineer · Event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