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ADOPT-VS-RE-ENGINEER CHEATSHEET</w:t>
      </w:r>
    </w:p>
    <w:p>
      <w:pPr>
        <w:spacing w:before="0" w:after="40"/>
      </w:pPr>
      <w:r>
        <w:rPr>
          <w:rFonts w:ascii="Calibri" w:hAnsi="Calibri"/>
          <w:b/>
          <w:color w:val="0B1F3A"/>
          <w:sz w:val="56"/>
        </w:rPr>
        <w:t>INT-AR-05</w:t>
      </w:r>
    </w:p>
    <w:p>
      <w:pPr>
        <w:spacing w:before="0" w:after="40"/>
      </w:pPr>
      <w:r>
        <w:rPr>
          <w:rFonts w:ascii="Calibri" w:hAnsi="Calibri"/>
          <w:b/>
          <w:color w:val="0B1F3A"/>
          <w:sz w:val="56"/>
        </w:rPr>
        <w:t>AIOps and Advanced Correlation</w:t>
      </w:r>
    </w:p>
    <w:p>
      <w:pPr>
        <w:spacing w:before="120" w:after="400"/>
      </w:pPr>
      <w:r>
        <w:rPr>
          <w:rFonts w:ascii="Calibri" w:hAnsi="Calibri"/>
          <w:i/>
          <w:color w:val="0D9488"/>
          <w:sz w:val="24"/>
        </w:rPr>
        <w:t>Pattern decision table for ML noise reduction, storm management, advanced correlation, and runbook automation</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ECS Lead Consultant, Solution Architect</w:t>
      </w:r>
    </w:p>
    <w:p>
      <w:pPr>
        <w:spacing w:after="40"/>
      </w:pPr>
      <w:r>
        <w:rPr>
          <w:rFonts w:ascii="Calibri" w:hAnsi="Calibri"/>
          <w:b w:val="0"/>
          <w:i w:val="0"/>
          <w:color w:val="475569"/>
          <w:sz w:val="20"/>
        </w:rPr>
        <w:t>Companion to: AP-09 Event Management Realization Pack · INT-AR-04 Event Management Cheatsheet</w:t>
      </w:r>
    </w:p>
    <w:p>
      <w:pPr>
        <w:spacing w:after="80"/>
      </w:pPr>
      <w:r>
        <w:rPr>
          <w:rFonts w:ascii="Calibri" w:hAnsi="Calibri"/>
          <w:b w:val="0"/>
          <w:i w:val="0"/>
          <w:color w:val="475569"/>
          <w:sz w:val="20"/>
        </w:rPr>
        <w:t>Document ID: INT-AR-05     ·     Version: 1.0     ·     Status: Released</w:t>
      </w:r>
    </w:p>
    <w:p>
      <w:pPr>
        <w:spacing w:after="280"/>
      </w:pPr>
      <w:r>
        <w:rPr>
          <w:rFonts w:ascii="Calibri" w:hAnsi="Calibri"/>
          <w:b w:val="0"/>
          <w:i/>
          <w:color w:val="475569"/>
          <w:sz w:val="20"/>
        </w:rPr>
        <w:t>Internal Use Only · Confidential</w:t>
      </w:r>
    </w:p>
    <w:p>
      <w:r>
        <w:br w:type="page"/>
      </w:r>
    </w:p>
    <w:p>
      <w:pPr>
        <w:pStyle w:val="Heading1"/>
      </w:pPr>
      <w:r>
        <w:t>How to Use This Cheatsheet</w:t>
      </w:r>
    </w:p>
    <w:p>
      <w:pPr>
        <w:spacing w:after="160" w:before="0"/>
      </w:pPr>
      <w:r>
        <w:rPr>
          <w:rFonts w:ascii="Calibri" w:hAnsi="Calibri"/>
          <w:color w:val="1A1A1A"/>
          <w:sz w:val="22"/>
        </w:rPr>
        <w:t>Use this cheatsheet during Event Management Realization workshops (Sprint 3-5) and AIOps design sessions. These patterns surface after the Foundations implementation is working and the customer is pushing for advanced capabilities. The OOTB AIOps and correlation features are more capable than most customers realize — the Adopt path almost always meets the requirement without custom development.</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Governance rule: Any item pattern flagged for Re-engineer goes into the Engagement Governance Triage Log before any scope commitment. No custom build without Delivery Manager review and customer sign-off.</w:t>
      </w:r>
    </w:p>
    <w:p>
      <w:r>
        <w:br w:type="page"/>
      </w:r>
    </w:p>
    <w:p>
      <w:pPr>
        <w:pStyle w:val="Heading1"/>
      </w:pPr>
      <w:r>
        <w:t>1.  Pattern Decision Table</w:t>
      </w:r>
    </w:p>
    <w:p>
      <w:pPr>
        <w:spacing w:after="160" w:before="0"/>
      </w:pPr>
      <w:r>
        <w:rPr>
          <w:rFonts w:ascii="Calibri" w:hAnsi="Calibri"/>
          <w:color w:val="1A1A1A"/>
          <w:sz w:val="22"/>
        </w:rPr>
        <w:t>For each pattern encountered during Event Management discovery or workshops, call Adopt or flag for Re-engineer using the decision rule in the rightmost column. The Adopt path is the default — shift the burden of proof to the exception.</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Customer Pattern</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OOTB Adopt Path</w:t>
            </w:r>
          </w:p>
        </w:tc>
        <w:tc>
          <w:tcPr>
            <w:tcW w:type="dxa" w:w="316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Re-engineer Trigger</w:t>
            </w:r>
          </w:p>
        </w:tc>
        <w:tc>
          <w:tcPr>
            <w:tcW w:type="dxa" w:w="426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Decision Rule</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wants AIOps to auto-resolve alerts without operator review.</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 AIOps for noise reduction recommendations and human-in-the-loop promotion decisions. Auto-resolution comes from monitoring tool recovery events (OOTB alert closure rules), not the ML model.</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Re-engineer: never. ML models make mistakes, especially early in training. Auto-resolving on ML recommendations without human review creates invisible gaps where real incidents are suppressed.</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always. AIOps makes operators faster, not optional. Frame it as 10-second decisions instead of 2-minute investigations.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wants to train the AIOps model on historical data from their old monitoring system.</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AIOps trains on em_event and em_alert data from the ServiceNow instance. 30-day production training period is required.</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Re-engineer: never. External monitoring data lacks the CMDB correlation, severity mapping, and source attribution that the ML model requires.</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always. Position the 30-day training period as an advantage: the model learns the new platform architecture, not the legacy system's patterns.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wants custom ML algorithms to replace ServiceNow's AIOps model.</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 the OOTB AIOps model with sensitivity tuning. The OOTB model is trained on ServiceNow's global event dataset and fine-tuned on the customer's own data.</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Re-engineer: only if the customer has a documented and proven custom ML algorithm that outperforms the OOTB model on their data. Requires a scoped integration project.</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for all standard deployments. Custom ML is a Phase 3+ investment and requires dedicated data science resources to maintain.</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wants to auto-close all alerts during a storm and start fresh after recovery.</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 the OOTB storm parent alert model: individual alerts are linked to the storm parent but retained. After the storm, the triage queue and post-incident review use this data.</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Re-engineer: never. Auto-closing storm alerts destroys the post-incident audit trail and hides alerts for issues that did not self-resolve.</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always. The storm parent model is the right architecture. Demonstrate how the workspace de-clutters during a storm without closing individual alerts.</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wants a single global storm detection rule for all sources.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Create one OOTB correlation rule per major event source with independently tuned thresholds. Network tools have different baseline volumes than application tools.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Re-engineer: never. A global rule with a single threshold produces either excessive false positives for low-volume sources or missed detections for high-volume sources.</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per-source rules always. Separate rules with per-source thresholds are more accurate and independently tunable without affecting other sources.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wants to suppress ALL events during a storm, including Severity 1.</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Suppress Severity 4-5 only during a storm window. Severity 1-3 continue as individual alerts linked to the storm parent.</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Re-engineer: never. Suppressing Severity 1-3 during a storm creates a window of complete blindness for P1 incidents that start during the storm.</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always. Severity 1-3 suppression during a storm is never acceptable. If the customer insists, escalate to Delivery Manager and document the risk in writing.</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wants one correlation rule to group all multi-source incidents.</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Build one OOTB correlation rule per incident pattern (e.g., network cascade, database overload, storage failure). Per-pattern rules are more accurate than a global rule.</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Re-engineer: never. A single global rule groups unrelated incidents, destroying operator confidence within weeks.</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per-pattern rules always. Use the incident pattern interview (INT-FG-02) to identify the top 3-5 patterns before building rules.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wants ML-based advanced correlation before 30 days of production data.</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Use OOTB rule-based correlation during the training period. ML correlation activates naturally once the AIOps model has sufficient data.</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Re-engineer: never. ML correlation on insufficient training data produces incorrect groupings that are worse than no correlation.</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rule-based correlation first. Transition to ML correlation naturally — do not force it early.</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 wants auto-remediation without any human approval step.</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Use OOTB RBA with approval-tier framework: low-risk actions (cache flush, log rotation) auto-execute; medium/high-risk actions (service restart, VM reboot) require operator approval.</w:t>
            </w:r>
          </w:p>
        </w:tc>
        <w:tc>
          <w:tcPr>
            <w:tcW w:type="dxa" w:w="316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Re-engineer: only for low-risk, well-understood, fully reversible actions with a documented rollback plan and a named owner for failure review.</w:t>
            </w:r>
          </w:p>
        </w:tc>
        <w:tc>
          <w:tcPr>
            <w:tcW w:type="dxa" w:w="426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Adopt the approval tier framework always. Document the specific approval tier for each action type in the Triage Log. Zero-approval for destructive actions is not acceptable.</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wants to trigger remediation from their monitoring tool directly.</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Trigger all remediation through ServiceNow RBA. OOTB RBA provides the ITSM record linkage, audit trail, and approval workflow that monitoring tool-triggered remediation bypasses.</w:t>
            </w:r>
          </w:p>
        </w:tc>
        <w:tc>
          <w:tcPr>
            <w:tcW w:type="dxa" w:w="316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Re-engineer: never. Monitoring tool-triggered remediation is invisible to the ITSM system and creates a parallel, unaudited automation program.</w:t>
            </w:r>
          </w:p>
        </w:tc>
        <w:tc>
          <w:tcPr>
            <w:tcW w:type="dxa" w:w="426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Adopt always. Runbook Automation through ServiceNow is the architecture. Monitoring tools detect; ServiceNow orchestrates.</w:t>
            </w:r>
          </w:p>
        </w:tc>
      </w:tr>
    </w:tbl>
    <w:p>
      <w:pPr>
        <w:spacing w:after="40"/>
      </w:pPr>
    </w:p>
    <w:p>
      <w:r>
        <w:br w:type="page"/>
      </w:r>
    </w:p>
    <w:p>
      <w:pPr>
        <w:pStyle w:val="Heading1"/>
      </w:pPr>
      <w:r>
        <w:t>2.  Common Objections — Consulting Response</w:t>
      </w:r>
    </w:p>
    <w:p>
      <w:pPr>
        <w:spacing w:after="160" w:before="0"/>
      </w:pPr>
      <w:r>
        <w:rPr>
          <w:rFonts w:ascii="Calibri" w:hAnsi="Calibri"/>
          <w:color w:val="1A1A1A"/>
          <w:sz w:val="22"/>
        </w:rPr>
        <w:t>These objections surface in nearly every Event Management engagement. Use the responses below verbatim or adapt to the customer's language.</w:t>
      </w:r>
    </w:p>
    <w:tbl>
      <w:tblPr>
        <w:tblW w:type="auto" w:w="0"/>
        <w:jc w:val="left"/>
        <w:tblLook w:firstColumn="1" w:firstRow="1" w:lastColumn="0" w:lastRow="0" w:noHBand="0" w:noVBand="1" w:val="04A0"/>
      </w:tblPr>
      <w:tblGrid>
        <w:gridCol w:w="4680"/>
        <w:gridCol w:w="4680"/>
      </w:tblGrid>
      <w:tr>
        <w:trPr>
          <w:tblHeader/>
        </w:trPr>
        <w:tc>
          <w:tcPr>
            <w:tcW w:type="dxa" w:w="57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Objection</w:t>
            </w:r>
          </w:p>
        </w:tc>
        <w:tc>
          <w:tcPr>
            <w:tcW w:type="dxa" w:w="771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Consulting Response</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have been using AIOps marketing numbers (80% noise reduction from day 1) to justify this project.'</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Reset expectations before go-live, not after. The realistic trajectory is 10-15% at day 30, 30% at day 60, 50%+ at day 90 with active operator feedback. Show customers the maturity curve now and let them re-calibrate their stakeholder messaging. Discovering the gap at day 30 is a trust crisis; discovering it before go-live is a planning conversation.</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'Why can't the monitoring tool trigger the remediation directly? It already knows the fix.'</w:t>
            </w:r>
          </w:p>
        </w:tc>
        <w:tc>
          <w:tcPr>
            <w:tcW w:type="dxa" w:w="77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monitoring tool triggers the detection. ServiceNow orchestrates the response. The monitoring tool does not know whether the same CI already has an open incident, whether an approval is required by policy, or whether the fix should be logged in the audit trail. ServiceNow knows all of those things — and OOTB RBA gives you the orchestration layer without writing custom integration code.</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to see 95% noise reduction before we go live.'</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Noise reduction is a function of model maturity — it requires production data that does not exist yet. The right gate for go-live is a clean Foundations implementation with correct CI correlation, severity mapping, and suppression rules. Noise reduction is what grows from that foundation over the first 90 days. Holding go-live hostage to a metric that requires go-live data is a logical trap.</w:t>
            </w:r>
          </w:p>
        </w:tc>
      </w:tr>
      <w:tr>
        <w:tc>
          <w:tcPr>
            <w:tcW w:type="dxa" w:w="57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'Our team runs remediation scripts manually today. Why would we change that?'</w:t>
            </w:r>
          </w:p>
        </w:tc>
        <w:tc>
          <w:tcPr>
            <w:tcW w:type="dxa" w:w="77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Manual scripts have no audit trail, no approval governance, and no ITSM record linkage. They work fine when the same person runs them every time and never makes a mistake under pressure. RBA gives you the same scripts with an approval step before they run, a work note on the incident after they run, and a metric on whether they worked. The scripts stay the same — the governance improves.</w:t>
            </w:r>
          </w:p>
        </w:tc>
      </w:tr>
      <w:tr>
        <w:tc>
          <w:tcPr>
            <w:tcW w:type="dxa" w:w="57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'We want to group all alerts from the same time period into one parent, regardless of source.'</w:t>
            </w:r>
          </w:p>
        </w:tc>
        <w:tc>
          <w:tcPr>
            <w:tcW w:type="dxa" w:w="77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Time-based grouping without a shared root cause produces parent alerts that mix completely unrelated incidents — a server CPU alert and a network switch alert that happened to occur in the same 10-minute window are not related just because they are close in time. OOTB correlation uses CI relationship and source patterns to identify genuine groupings. Time is a condition, not a sufficient criterion.</w:t>
            </w:r>
          </w:p>
        </w:tc>
      </w:tr>
    </w:tbl>
    <w:p>
      <w:pPr>
        <w:spacing w:after="40"/>
      </w:pPr>
    </w:p>
    <w:p>
      <w:r>
        <w:br w:type="page"/>
      </w:r>
    </w:p>
    <w:p>
      <w:pPr>
        <w:pStyle w:val="Heading1"/>
      </w:pPr>
      <w:r>
        <w:t>Field Notes</w:t>
      </w:r>
    </w:p>
    <w:p>
      <w:pPr>
        <w:spacing w:after="160" w:before="0"/>
      </w:pPr>
      <w:r>
        <w:rPr>
          <w:rFonts w:ascii="Calibri" w:hAnsi="Calibri"/>
          <w:color w:val="1A1A1A"/>
          <w:sz w:val="22"/>
        </w:rPr>
        <w:t>Key reference: AP-09 Event Management Realization Accelerator Pack — workbooks 02 through 06 contain the detailed configuration for every Realization pattern in this table. AIOps and advanced correlation decisions escalated to Re-engineer require Delivery Manager review, scope impact documentation in INT-TBV-03, and customer sign-off before any custom development begins. The OOTB answer should always be demonstrated first.</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Adopt-vs-Re-engineer · AIOps and Advanced Correlation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