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· ADOPT VS. RE-ENGINEER CHEATSHEET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Knowledge Article Curation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Adopt vs. Re-engineer Cheatsheet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Pattern reference for ECS consultants: when to adopt OOTB and when to re-engineer — KB Curation — Quality Over Volume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Lead Consultant, Solution Architect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INT-HT series · Consultant Handbook (INT-CH-01)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INT-AR-09     ·     Version: 1.0     ·     Status: Released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r>
        <w:br w:type="page"/>
      </w:r>
    </w:p>
    <w:p>
      <w:pPr>
        <w:pStyle w:val="Heading1"/>
      </w:pPr>
      <w:r>
        <w:t>How to Use This Cheatsheet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Pre-read before every workshop for this discipline. When a customer requests a pattern listed here, you should be able to give the OOTB response from memory. The goal column tells you the disposition: Fully Adopt, Adopt with Caution, Re-engineer to OOTB, or Defer to Phase 2.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If a customer request is not in this table, it is either a novel customization (escalate to Practice Management) or an OOTB pattern you haven't found yet (search the ServiceNow documentation before writing code).</w:t>
      </w:r>
    </w:p>
    <w:p>
      <w:r>
        <w:br w:type="page"/>
      </w:r>
    </w:p>
    <w:p>
      <w:pPr>
        <w:pStyle w:val="Heading1"/>
      </w:pPr>
      <w:r>
        <w:t>1.  Pattern Reference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Pattern / Request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Disposition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OOTB Approach / Rationale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article lifecycle: Draft → In Review → Published → Retired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workflow enforces quality gate. Reviewer role required for publish.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Multiple article templates (How-To, FAQ, Policy, Error Code)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supports multiple KB article templates configured per knowledge base.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Article validity date (auto-flag expired articles)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validity date field triggers review flag. Knowledge Manager dashboard shows expiring articles.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Category structure aligned to Incident taxonomy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Same taxonomy = analysts find KB articles by the same category they use to classify Incidents.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Rich text formatting with images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KB article body supports rich text editor with image upload. No custom renderer needed.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External (public) KB articles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OOTB: knowledge base access control allows external visibility per article. No custom portal.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AI-indexed articles for Now Assist GenAI search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OOTB: 'Index for search' flag on article. Enable on all published articles for full AI search coverage.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Manual article approval requiring 3+ reviewers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Re-engineer to single reviewer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Multi-reviewer approval on every article creates KB quality backlog. Single reviewer with quarterly audit is the OOTB governance model.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Migrating articles 'as-is' from SharePoint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Re-engineer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Import all articles but review each for structure compliance before publish. Bulk-importing unstructured SharePoint articles degrades AI search quality.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INT-AR-09 Adopt vs. Re-engineer Cheatsheet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