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</w:pPr>
    </w:p>
    <w:p>
      <w:pPr>
        <w:spacing w:after="120"/>
      </w:pPr>
    </w:p>
    <w:p>
      <w:pPr>
        <w:spacing w:before="800" w:after="160"/>
      </w:pPr>
      <w:r>
        <w:rPr>
          <w:rFonts w:ascii="Calibri" w:hAnsi="Calibri"/>
          <w:b/>
          <w:color w:val="14B8A6"/>
          <w:spacing w:val="60"/>
          <w:sz w:val="18"/>
        </w:rPr>
        <w:t>INTERNAL · ADOPT VS. RE-ENGINEER CHEATSHEET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CMDB Class Selection</w:t>
      </w:r>
    </w:p>
    <w:p>
      <w:pPr>
        <w:spacing w:before="0" w:after="40"/>
      </w:pPr>
      <w:r>
        <w:rPr>
          <w:rFonts w:ascii="Calibri" w:hAnsi="Calibri"/>
          <w:b/>
          <w:color w:val="0B1F3A"/>
          <w:sz w:val="56"/>
        </w:rPr>
        <w:t>Adopt vs. Re-engineer Cheatsheet</w:t>
      </w:r>
    </w:p>
    <w:p>
      <w:pPr>
        <w:spacing w:before="120" w:after="400"/>
      </w:pPr>
      <w:r>
        <w:rPr>
          <w:rFonts w:ascii="Calibri" w:hAnsi="Calibri"/>
          <w:i/>
          <w:color w:val="0D9488"/>
          <w:sz w:val="24"/>
        </w:rPr>
        <w:t>Pattern reference for ECS consultants: when to adopt OOTB and when to re-engineer — CMDB — Right CI Classes, Right Attributes</w:t>
      </w:r>
    </w:p>
    <w:p>
      <w:pPr>
        <w:pBdr>
          <w:bottom w:val="single" w:sz="12" w:space="1" w:color="14B8A6"/>
        </w:pBdr>
        <w:spacing w:before="0" w:after="160"/>
      </w:pPr>
    </w:p>
    <w:p>
      <w:pPr>
        <w:spacing w:after="40"/>
      </w:pPr>
      <w:r>
        <w:rPr>
          <w:rFonts w:ascii="Calibri" w:hAnsi="Calibri"/>
          <w:b/>
          <w:i w:val="0"/>
          <w:color w:val="0B1F3A"/>
          <w:sz w:val="22"/>
        </w:rPr>
        <w:t>ECS Federal · ServiceNow Practice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Audience: ECS Lead Consultant, Solution Architect</w:t>
      </w:r>
    </w:p>
    <w:p>
      <w:pPr>
        <w:spacing w:after="40"/>
      </w:pPr>
      <w:r>
        <w:rPr>
          <w:rFonts w:ascii="Calibri" w:hAnsi="Calibri"/>
          <w:b w:val="0"/>
          <w:i w:val="0"/>
          <w:color w:val="475569"/>
          <w:sz w:val="20"/>
        </w:rPr>
        <w:t>Companion to: INT-HT series · Consultant Handbook (INT-CH-01)</w:t>
      </w:r>
    </w:p>
    <w:p>
      <w:pPr>
        <w:spacing w:after="80"/>
      </w:pPr>
      <w:r>
        <w:rPr>
          <w:rFonts w:ascii="Calibri" w:hAnsi="Calibri"/>
          <w:b w:val="0"/>
          <w:i w:val="0"/>
          <w:color w:val="475569"/>
          <w:sz w:val="20"/>
        </w:rPr>
        <w:t>Document ID: INT-AR-11     ·     Version: 1.0     ·     Status: Released</w:t>
      </w:r>
    </w:p>
    <w:p>
      <w:pPr>
        <w:spacing w:after="280"/>
      </w:pPr>
      <w:r>
        <w:rPr>
          <w:rFonts w:ascii="Calibri" w:hAnsi="Calibri"/>
          <w:b w:val="0"/>
          <w:i/>
          <w:color w:val="475569"/>
          <w:sz w:val="20"/>
        </w:rPr>
        <w:t>Internal Use Only · Confidential</w:t>
      </w:r>
    </w:p>
    <w:p>
      <w:r>
        <w:br w:type="page"/>
      </w:r>
    </w:p>
    <w:p>
      <w:pPr>
        <w:pStyle w:val="Heading1"/>
      </w:pPr>
      <w:r>
        <w:t>How to Use This Cheatsheet</w:t>
      </w:r>
    </w:p>
    <w:p>
      <w:pPr>
        <w:spacing w:after="160" w:before="0"/>
      </w:pPr>
      <w:r>
        <w:rPr>
          <w:rFonts w:ascii="Calibri" w:hAnsi="Calibri"/>
          <w:color w:val="1A1A1A"/>
          <w:sz w:val="22"/>
        </w:rPr>
        <w:t>Pre-read before every workshop for this discipline. When a customer requests a pattern listed here, you should be able to give the OOTB response from memory. The goal column tells you the disposition: Fully Adopt, Adopt with Caution, Re-engineer to OOTB, or Defer to Phase 2.</w:t>
      </w:r>
    </w:p>
    <w:p>
      <w:pPr>
        <w:pBdr>
          <w:top w:val="single" w:sz="4" w:space="4" w:color="2E74B5"/>
          <w:left w:val="single" w:sz="4" w:space="4" w:color="2E74B5"/>
          <w:bottom w:val="single" w:sz="4" w:space="4" w:color="2E74B5"/>
          <w:right w:val="single" w:sz="4" w:space="4" w:color="2E74B5"/>
        </w:pBdr>
        <w:shd w:val="clear" w:color="auto" w:fill="EAF1F8"/>
        <w:spacing w:before="120" w:after="160"/>
      </w:pPr>
      <w:r>
        <w:rPr>
          <w:rFonts w:ascii="Calibri" w:hAnsi="Calibri"/>
          <w:b/>
          <w:color w:val="0B1F3A"/>
          <w:sz w:val="20"/>
        </w:rPr>
        <w:t>If a customer request is not in this table, it is either a novel customization (escalate to Practice Management) or an OOTB pattern you haven't found yet (search the ServiceNow documentation before writing code).</w:t>
      </w:r>
    </w:p>
    <w:p>
      <w:r>
        <w:br w:type="page"/>
      </w:r>
    </w:p>
    <w:p>
      <w:pPr>
        <w:pStyle w:val="Heading1"/>
      </w:pPr>
      <w:r>
        <w:t>1.  Pattern Reference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Pattern / Request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Disposition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0B1F3A"/>
            <w:tcMar>
              <w:top w:type="dxa" w:w="120"/>
              <w:left w:type="dxa" w:w="160"/>
              <w:bottom w:type="dxa" w:w="120"/>
              <w:right w:type="dxa" w:w="160"/>
            </w:tcMar>
            <w:vAlign w:val="center"/>
          </w:tcPr>
          <w:p>
            <w:pPr>
              <w:spacing w:before="40" w:after="40"/>
            </w:pPr>
            <w:r>
              <w:rPr>
                <w:rFonts w:ascii="Calibri" w:hAnsi="Calibri"/>
                <w:b/>
                <w:color w:val="FFFFFF"/>
                <w:sz w:val="22"/>
              </w:rPr>
              <w:t>OOTB Approach / Rationale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CI class hierarchy (200+ classes)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 — use existing classes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the OOTB hierarchy before proposing a custom class. Most 'missing' classes exist as non-displayed OOTB classes.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Server CI class (Physical and Virtual)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Server CI class with full attribute set. Discovery populates automatically.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Network Device CI class (Router, Switch, Firewall)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Network Device CI class hierarchy. SNMP Discovery populates.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Application CI class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Application CI class links to Technical Services in CSDM.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End User Computer CI class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Computer CI class. SCCM/Intune connectors populate software inventory.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CI class for proprietary system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carefully — usually OOTB works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Extension of existing OOTB class is preferred over new custom class. New custom class requires custom Discovery pattern.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Mainframe CI class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 — class exists OOTB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cmdb_ci_mainframe exists in the base hierarchy. Activate if not displayed.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Cloud Instance CI class (AWS, Azure)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Fully adopt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OOTB cloud CI classes. Service Graph Connectors for Azure and AWS populate via API.</w:t>
            </w:r>
          </w:p>
        </w:tc>
      </w:tr>
      <w:tr>
        <w:tc>
          <w:tcPr>
            <w:tcW w:type="dxa" w:w="4320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Custom attributes on existing CI classes</w:t>
            </w:r>
          </w:p>
        </w:tc>
        <w:tc>
          <w:tcPr>
            <w:tcW w:type="dxa" w:w="2592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Evaluate — often not needed</w:t>
            </w:r>
          </w:p>
        </w:tc>
        <w:tc>
          <w:tcPr>
            <w:tcW w:type="dxa" w:w="6624"/>
            <w:tcBorders>
              <w:top w:val="single" w:sz="4" w:color="E2E8F0"/>
              <w:left w:val="single" w:sz="4" w:color="E2E8F0"/>
              <w:bottom w:val="single" w:sz="4" w:color="E2E8F0"/>
              <w:right w:val="single" w:sz="4" w:color="E2E8F0"/>
            </w:tcBorders>
            <w:shd w:val="clear" w:color="auto" w:fill="F8FAFC"/>
            <w:tcMar>
              <w:top w:type="dxa" w:w="100"/>
              <w:left w:type="dxa" w:w="160"/>
              <w:bottom w:type="dxa" w:w="100"/>
              <w:right w:type="dxa" w:w="160"/>
            </w:tcMar>
            <w:vAlign w:val="top"/>
          </w:tcPr>
          <w:p>
            <w:pPr>
              <w:spacing w:before="40" w:after="40"/>
            </w:pPr>
            <w:r>
              <w:rPr>
                <w:rFonts w:ascii="Calibri" w:hAnsi="Calibri"/>
                <w:sz w:val="20"/>
              </w:rPr>
              <w:t>Check if the required attribute exists on the CI class or its parent before adding a custom field. OOTB CI classes have 40-100 attributes per class.</w:t>
            </w:r>
          </w:p>
        </w:tc>
      </w:tr>
    </w:tbl>
    <w:p>
      <w:pPr>
        <w:spacing w:after="40"/>
      </w:pPr>
    </w:p>
    <w:sectPr w:rsidR="00FC693F" w:rsidRPr="0006063C" w:rsidSect="00034616">
      <w:headerReference w:type="default" r:id="rId9"/>
      <w:footerReference w:type="default" r:id="rId10"/>
      <w:pgSz w:w="12240" w:h="15840"/>
      <w:pgMar w:top="1152" w:right="1440" w:bottom="1152" w:left="1440" w:header="504" w:footer="576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tabs>
        <w:tab w:val="right" w:pos="9360"/>
      </w:tabs>
    </w:pPr>
    <w:r>
      <w:rPr>
        <w:rFonts w:ascii="Calibri" w:hAnsi="Calibri"/>
        <w:color w:val="475569"/>
        <w:sz w:val="16"/>
      </w:rPr>
      <w:t>ECS Federal · ServiceNow Practice  ·  Internal Use Only</w:t>
    </w:r>
    <w:r>
      <w:tab/>
    </w:r>
    <w:r>
      <w:rPr>
        <w:rFonts w:ascii="Calibri" w:hAnsi="Calibri"/>
        <w:color w:val="475569"/>
        <w:sz w:val="16"/>
      </w:rPr>
      <w:t xml:space="preserve">Page </w:t>
    </w:r>
    <w:r>
      <w:rPr>
        <w:rFonts w:ascii="Calibri" w:hAnsi="Calibri"/>
        <w:color w:val="475569"/>
        <w:sz w:val="16"/>
      </w:rPr>
      <w:fldChar w:fldCharType="begin"/>
      <w:instrText>PAGE</w:instrText>
      <w:fldChar w:fldCharType="separate"/>
      <w:fldChar w:fldCharType="end"/>
    </w:r>
    <w:r>
      <w:rPr>
        <w:rFonts w:ascii="Calibri" w:hAnsi="Calibri"/>
        <w:color w:val="475569"/>
        <w:sz w:val="16"/>
      </w:rPr>
      <w:t xml:space="preserve"> of </w:t>
    </w:r>
    <w:r>
      <w:rPr>
        <w:rFonts w:ascii="Calibri" w:hAnsi="Calibri"/>
        <w:color w:val="475569"/>
        <w:sz w:val="16"/>
      </w:rPr>
      <w:fldChar w:fldCharType="begin"/>
      <w:instrText>NUMPAGES</w:instrText>
      <w:fldChar w:fldCharType="separate"/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pBdr>
        <w:bottom w:val="single" w:color="14B8A6" w:sz="8" w:space="1"/>
      </w:pBdr>
      <w:tabs>
        <w:tab w:val="right" w:pos="9360"/>
      </w:tabs>
    </w:pPr>
    <w:r>
      <w:drawing>
        <wp:inline xmlns:a="http://schemas.openxmlformats.org/drawingml/2006/main" xmlns:pic="http://schemas.openxmlformats.org/drawingml/2006/picture">
          <wp:extent cx="960120" cy="178932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everforth_logo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960120" cy="178932"/>
                  </a:xfrm>
                  <a:prstGeom prst="rect"/>
                </pic:spPr>
              </pic:pic>
            </a:graphicData>
          </a:graphic>
        </wp:inline>
      </w:drawing>
    </w:r>
    <w:r>
      <w:tab/>
    </w:r>
    <w:r>
      <w:rPr>
        <w:rFonts w:ascii="Calibri" w:hAnsi="Calibri"/>
        <w:color w:val="475569"/>
        <w:spacing w:val="30"/>
        <w:sz w:val="18"/>
      </w:rPr>
      <w:t>Internal · INT-AR-11 Adopt vs. Re-engineer Cheatsheet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cs="Calibri" w:eastAsia="Calibri"/>
      <w:color w:val="1A1A1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120"/>
      <w:outlineLvl w:val="0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80"/>
      <w:outlineLvl w:val="1"/>
    </w:pPr>
    <w:rPr>
      <w:rFonts w:asciiTheme="majorHAnsi" w:eastAsiaTheme="majorEastAsia" w:hAnsiTheme="majorHAnsi" w:cstheme="majorBidi" w:ascii="Calibri" w:hAnsi="Calibri" w:cs="Calibri" w:eastAsia="Calibri"/>
      <w:b/>
      <w:bCs/>
      <w:color w:val="0B1F3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40"/>
      <w:outlineLvl w:val="2"/>
    </w:pPr>
    <w:rPr>
      <w:rFonts w:asciiTheme="majorHAnsi" w:eastAsiaTheme="majorEastAsia" w:hAnsiTheme="majorHAnsi" w:cstheme="majorBidi" w:ascii="Calibri" w:hAnsi="Calibri" w:cs="Calibri" w:eastAsia="Calibri"/>
      <w:b/>
      <w:bCs/>
      <w:color w:val="2E74B5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Calibri" w:hAnsi="Calibri" w:cs="Calibri" w:eastAsia="Calibri"/>
      <w:b/>
      <w:color w:val="0B1F3A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