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Custom vs. OOTB Decision Framework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The Decision Gate — When to Adopt, When to Govern, When to Defer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INT-AR-14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capability covers the requirement with configuration only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 — configure, do not code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If the requirement can be met by enabling, configuring, or extending OOTB functionality without writing code: configure it.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capability partially covers the requirement — small gap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with governed deviation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the gap in the Governance Triage Log. Configure the OOTB capability. Assess the gap at the first Phase 2 planning session.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capability does not cover the requirement — high business value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scope — not Sprint customization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High-value requirements not covered by OOTB belong in the Phase 2 scope discussion, not in the active sprint. Document in the Governance Triage Log.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'has always done it this way' — no business requirement documented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OOTB — require documented justification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'We've always done it this way' is not a business requirement. Ask: what business outcome does the current approach produce that OOTB cannot? If no answer, adopt OOTB.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Compliance requirement that mandates specific workflow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against OOTB first — most compliance is achievable OOTB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compliance requirement. OOTB ServiceNow is ITIL-aligned, FedRAMP-authorized, and SOC 2 compliant. Specific audit requirements almost always map to OOTB configuration.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System.property or UI Policy change (no-code configuration)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properties, UI policies, and display conditions are zero-code configuration. These are not customizations.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Rule or Script Include (custom server-side code)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OOTB Flow Designer / Decision Tables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Rules that duplicate OOTB functionality (assignment, approval, SLA) are prime technical debt candidates. Migrate to OOTB.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Script on catalog item or form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OOTB conditions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Policy, display conditions, and reference qualifiers replace 80% of Client Script use cases. Script only what absolutely cannot be configured.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INT-AR-14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