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When a customer requests a customization, find the closest pattern below. The Disposition column gives the immediate response. The OOTB Approach column gives you the technical argument. Always show before you tell — demo the OOTB capability before explaining why the custom approach is unnecessary.</w:t>
      </w:r>
    </w:p>
    <w:p>
      <w:pPr>
        <w:pStyle w:val="Heading1"/>
      </w:pPr>
      <w:r>
        <w:t>2.  Pattern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'Add a mandatory field to the incident form'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with configuration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Use Form Designer to add existing dictionary fields to the form. Set mandatory via UI Policy (OOTB). Only create a new dictionary entry if the field genuinely does not exist.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'Create a custom field for incident priority justification'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dictionary entry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Add a String or Choice field to the incident table via Dictionary. No scripting needed. Use Field Label to name it appropriately.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'Hide fields based on user role'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Policies with role conditions handle field visibility natively. No client scripts needed for role-based show/hide.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'Auto-populate a field when another field changes'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Policy + Data Policy or a simple Client Script onChange handler. Avoid server-side calls from client scripts — use UI Policies for pure field logic.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'Color-code fields based on value'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UI Policy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Policies support CSS styling on fields and form sections. No custom HTML/CSS injection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'Add a custom button to the form toolbar'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CAREFULLY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Actions (OOTB) create toolbar buttons and context menu items. If the action requires a server call, use a standard UI Action with a server-side script. Avoid client-side-only buttons that call GlideAjax.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'Create a custom related list on the form'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Related Lists are configured via Form Layout → Related Lists. Add existing relationship tables. Only create a new related table if the relationship genuinely does not exist in the platform.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'Add a visual progress bar or stepper to the form'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— likely custom UI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does not have a native OOTB form progress bar. Consider using the Activity Stream + State field visual, or portal-side widgets if the request is for self-service users (not agents).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'Move fields between sections dynamically based on category'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conditional sections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Form sections can be shown/hidden via UI Policies based on field values. Create separate sections per category and toggle visibility. No scripting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'Remove the standard ServiceNow header/branding from a form'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REJECT (Tier 1)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Modifying the UI15/UI16 chrome is a platform-level change that breaks on upgrades. For branded self-service, use Employee Center portals where full branding is OOTB-supported.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'Add inline help text or tooltips to fields'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Field Help Text is configurable in the Dictionary entry for any field. Appears as a tooltip icon natively — no scripting needed.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'Create a read-only summary panel at the top of a form'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 — formatter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Formatters (OOTB) can display dynamic content at the top of a form using existing field values. Use the existing Summary formatter or create a simple custom formatter (acceptable as it does not affect data model).</w:t>
            </w:r>
          </w:p>
        </w:tc>
      </w:tr>
    </w:tbl>
    <w:p>
      <w:pPr>
        <w:spacing w:after="40"/>
      </w:pPr>
    </w:p>
    <w:p>
      <w:pPr>
        <w:pStyle w:val="Heading1"/>
      </w:pPr>
      <w:r>
        <w:t>3.  Escalation Rule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If a customer pushes back after the OOTB response and escalates to a Tier 2 or Tier 1 decision, log the request in the Customization Variance Tracker (INT-TBV-03) and bring it to the Customization Council with a Decision Topic Guide. Do not agree to the customization in the workshop.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INT-AR-15 Form Customization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