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How to Use This Cheatsheet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When a customer requests a customization, find the closest pattern below. The Disposition column gives the immediate response. The OOTB Approach column gives you the technical argument. Always show before you tell — demo the OOTB capability before explaining why the custom approach is unnecessary.</w:t>
      </w:r>
    </w:p>
    <w:p>
      <w:pPr>
        <w:pStyle w:val="Heading1"/>
      </w:pPr>
      <w:r>
        <w:t>2.  Pattern Library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Pattern / Request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Disposition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OOTB Approach / Rationale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want custom email templates with our branding'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 — with configuration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email notifications support HTML templates with custom CSS and images. Add the customer logo and brand colors to the Notification template. Full branding is achievable OOTB.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'Send notifications based on complex conditional logic'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Notification conditions and advanced conditions cover most logic. For complex multi-field conditions, use a Notification Filter script (server-side only) — this is an OOTB extension point, not a customization.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need notifications to fire from a third-party system trigger'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 — Event registry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Create a custom event in the Event Registry (OOTB) and trigger it from your IntegrationHub flow. Notifications can fire on any registered event. No custom notification engine needed.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'Notify different groups based on assignment group'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Use the 'Group' notification recipient type — it resolves the members of the assignment group dynamically. No hard-coded user lists or scripting needed.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'Create a custom daily digest email for managers'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 — Scheduled reports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Scheduled Reports (Performance Analytics) deliver dashboard snapshots or report exports on a schedule. No custom email scripts needed.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need a custom reporting database outside ServiceNow'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EVALUATE — likely reject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Performance Analytics, OOTB reports, and the ServiceNow JDBC export provide comprehensive reporting options. A separate reporting database creates a data sync burden. Justify before scoping.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'Build a custom dashboard with real-time KPIs'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 — Performance Analytics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 dashboards support live KPI indicators with configurable thresholds and drill-down. OOTB PA covers the vast majority of operational reporting needs.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'Export reports to a specific format (Excel, PDF)'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report export supports PDF, Excel, and CSV natively. Schedule reports to email exports directly to stakeholders.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want a report that joins data from two unrelated tables'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EVALUATE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reports support dot-walking across related tables. If tables are genuinely unrelated, use a Database View (OOTB extension point) to create a virtual join — this is preferable to scripted reports.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'Real-time push notifications to mobile devices'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 — Now Mobile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Now Mobile and the ServiceNow mobile app deliver push notifications OOTB. No custom notification pipeline needed for standard mobile alerting.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'SMS notifications for major incidents'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 — IntegrationHub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IntegrationHub has spokes for Twilio, AWS SNS, and other SMS providers. Configure an outbound spoke action triggered on Major Incident criteria — no custom scripting needed.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'Suppress notifications for a specific user during off-hours'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 — Notification Preferences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Notification Preferences allow users and admins to configure notification schedules and suppress rules. No custom logic needed.</w:t>
            </w:r>
          </w:p>
        </w:tc>
      </w:tr>
    </w:tbl>
    <w:p>
      <w:pPr>
        <w:spacing w:after="40"/>
      </w:pPr>
    </w:p>
    <w:p>
      <w:pPr>
        <w:pStyle w:val="Heading1"/>
      </w:pPr>
      <w:r>
        <w:t>3.  Escalation Rule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If a customer pushes back after the OOTB response and escalates to a Tier 2 or Tier 1 decision, log the request in the Customization Variance Tracker (INT-TBV-03) and bring it to the Customization Council with a Decision Topic Guide. Do not agree to the customization in the workshop.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INT-AR-16 Notification &amp; Reporting Cheatsheet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