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UAT Philosophy — OOTB Model</w:t>
      </w:r>
    </w:p>
    <w:p>
      <w:pPr>
        <w:spacing w:after="160" w:before="0"/>
      </w:pPr>
      <w:r>
        <w:rPr>
          <w:rFonts w:ascii="Calibri" w:hAnsi="Calibri"/>
          <w:color w:val="1A1A1A"/>
          <w:sz w:val="22"/>
        </w:rPr>
        <w:t>UAT in an OOTB-first engagement is not about proving the software can do everything the legacy system did. It is about validating that the configured OOTB platform meets the business requirements agreed in the workshops. Legacy process parity is not an acceptance criterion. Business outcome delivery is.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Key rule: Any UAT failure that is caused by a feature that was explicitly accepted as OOTB during the workshop phase is NOT a defect — it is a scope confirmation. Document it and manage it separately from true defects.</w:t>
      </w:r>
    </w:p>
    <w:p>
      <w:pPr>
        <w:pStyle w:val="Heading1"/>
      </w:pPr>
      <w:r>
        <w:t>2.  1. UAT Readiness Checklist</w:t>
      </w:r>
    </w:p>
    <w:p>
      <w:pPr>
        <w:spacing w:after="160" w:before="0"/>
      </w:pPr>
      <w:r>
        <w:rPr>
          <w:rFonts w:ascii="Calibri" w:hAnsi="Calibri"/>
          <w:color w:val="1A1A1A"/>
          <w:sz w:val="22"/>
        </w:rPr>
        <w:t>Complete before scheduling UAT sessions with the customer:</w:t>
      </w:r>
    </w:p>
    <w:tbl>
      <w:tblPr>
        <w:tblW w:type="auto" w:w="0"/>
        <w:jc w:val="left"/>
        <w:tblLook w:firstColumn="1" w:firstRow="1" w:lastColumn="0" w:lastRow="0" w:noHBand="0" w:noVBand="1" w:val="04A0"/>
      </w:tblPr>
      <w:tblGrid>
        <w:gridCol w:w="3120"/>
        <w:gridCol w:w="3120"/>
        <w:gridCol w:w="3120"/>
      </w:tblGrid>
      <w:tr>
        <w:trPr>
          <w:tblHeader/>
        </w:trPr>
        <w:tc>
          <w:tcPr>
            <w:tcW w:type="dxa" w:w="72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environment (TEST instance) is a clean copy of DEV with all sprint configuration</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INT-UAT-01 Test Pack populated with scenarios for all in-scope module features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UAT testers identified, named, and confirmed available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 / Customer PM</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tester accounts created in TEST instance with correct roles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Sample test data seeded: CIs, users, groups, catalog items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kickoff session scheduled (1 hour — ECS-facilitated)</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Defect reporting process communicated to all testers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Defect severity definitions shared with customer PM and UAT lead</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Go/no-go criteria confirmed with customer sponsor in writing</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1"/>
      </w:pPr>
      <w:r>
        <w:t>3.  2. UAT Kickoff Session Agenda</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Facilitator</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Notes</w:t>
            </w:r>
          </w:p>
        </w:tc>
      </w:tr>
      <w:tr>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0:00-0:10</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Welcome and UAT overview — what we are testing and why</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Set the OOTB context — testers are validating business outcomes, not feature parity</w:t>
            </w:r>
          </w:p>
        </w:tc>
      </w:tr>
      <w:tr>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0:10-0:20</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Test Pack — scenario structure, pass/fail criteria</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INT-UAT-01; show testers where to record results</w:t>
            </w:r>
          </w:p>
        </w:tc>
      </w:tr>
      <w:tr>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0:20-0:30</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Defect reporting process — how to log a defect, severity definitions</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Reference INT-UAT-03 Defect Triage Guide; set expectation that some 'defects' are scope confirmations</w:t>
            </w:r>
          </w:p>
        </w:tc>
      </w:tr>
      <w:tr>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0:30-0:40</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Environment access — confirm all testers can log in and navigate</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 through any access issues live; do not let access problems delay UAT start</w:t>
            </w:r>
          </w:p>
        </w:tc>
      </w:tr>
      <w:tr>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0:40-0:55</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Questions and open discussion</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Address any concerns about scope or expectations before testing begins</w:t>
            </w:r>
          </w:p>
        </w:tc>
      </w:tr>
      <w:tr>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0:55-1:00</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kick-off — testers begin with Scenario IDs 1-5</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Consultants available for questions during first 30 minutes of testing</w:t>
            </w:r>
          </w:p>
        </w:tc>
      </w:tr>
    </w:tbl>
    <w:p>
      <w:pPr>
        <w:spacing w:after="40"/>
      </w:pPr>
    </w:p>
    <w:p>
      <w:pPr>
        <w:pStyle w:val="Heading1"/>
      </w:pPr>
      <w:r>
        <w:t>4.  3. Daily UAT Standup Protocol</w:t>
      </w:r>
    </w:p>
    <w:p>
      <w:pPr>
        <w:spacing w:after="160" w:before="0"/>
      </w:pPr>
      <w:r>
        <w:rPr>
          <w:rFonts w:ascii="Calibri" w:hAnsi="Calibri"/>
          <w:color w:val="1A1A1A"/>
          <w:sz w:val="22"/>
        </w:rPr>
        <w:t>Run a 15-minute standup each morning of the UAT period:</w:t>
      </w:r>
    </w:p>
    <w:tbl>
      <w:tblPr>
        <w:tblW w:type="auto" w:w="0"/>
        <w:jc w:val="left"/>
        <w:tblLook w:firstColumn="1" w:firstRow="1" w:lastColumn="0" w:lastRow="0" w:noHBand="0" w:noVBand="1" w:val="04A0"/>
      </w:tblPr>
      <w:tblGrid>
        <w:gridCol w:w="3120"/>
        <w:gridCol w:w="3120"/>
        <w:gridCol w:w="3120"/>
      </w:tblGrid>
      <w:tr>
        <w:trPr>
          <w:tblHeader/>
        </w:trPr>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64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 many scenarios completed vs. planned?</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reviews execution log</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Flag if &gt;20% behind plan — escalate to EM</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Any new FAIL results since yesterday?</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 reviews defect log</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Triage new defects using INT-UAT-03; classify severity</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Any BLOCKED scenarios?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Unblock environment/data issues same day; do not let BLOCKED count accumulate</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Any scope questions from testers?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Answer definitively — do not let ambiguity persist into the test day</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Updated pass rate / go/no-go forecast?</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Update customer sponsor daily on UAT health</w:t>
            </w:r>
          </w:p>
        </w:tc>
      </w:tr>
    </w:tbl>
    <w:p>
      <w:pPr>
        <w:spacing w:after="40"/>
      </w:pPr>
    </w:p>
    <w:p>
      <w:pPr>
        <w:pStyle w:val="Heading1"/>
      </w:pPr>
      <w:r>
        <w:t>5.  4. UAT Defect Classification Quick Reference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Severity</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Definition</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SLA to Fix</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Go/No-Go Impact</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Severity 1 — Critical</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Core business process completely broken; no workaround exists</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Fix before go-live — no exceptions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Blocks go-live</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Severity 2 — High</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Core feature impaired; workaround exists but is unacceptable for production</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Fix before go-live or formal deferral approved by sponsor</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Blocks go-live unless formally deferred</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Severity 3 — Medium</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Feature works but with minor inconsistency; acceptable workaround exists</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Fix in first 2-week hypercare sprint</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Does not block go-live</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Severity 4 — Low</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Cosmetic issue or very minor usability concern; no workflow impact</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Schedule in backlog; target next upgrade cycle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Does not block go-live</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Scope Confirmation</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Feature behaves as OOTB — tester expected legacy behavior but OOTB was accepted in workshop</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fix — document and communicate to tester</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Does not affect go/no-go</w:t>
            </w:r>
          </w:p>
        </w:tc>
      </w:tr>
    </w:tbl>
    <w:p>
      <w:pPr>
        <w:spacing w:after="40"/>
      </w:pPr>
    </w:p>
    <w:p>
      <w:pPr>
        <w:pStyle w:val="Heading1"/>
      </w:pPr>
      <w:r>
        <w:t>6.  5. Go/No-Go Decision Protocol</w:t>
      </w:r>
    </w:p>
    <w:p>
      <w:pPr>
        <w:spacing w:after="160" w:before="0"/>
      </w:pPr>
      <w:r>
        <w:rPr>
          <w:rFonts w:ascii="Calibri" w:hAnsi="Calibri"/>
          <w:color w:val="1A1A1A"/>
          <w:sz w:val="22"/>
        </w:rPr>
        <w:t>ECS EM owns the go/no-go recommendation. Customer Project Sponsor owns the final go/no-go decision.</w:t>
      </w:r>
    </w:p>
    <w:tbl>
      <w:tblPr>
        <w:tblW w:type="auto" w:w="0"/>
        <w:jc w:val="left"/>
        <w:tblLook w:firstColumn="1" w:firstRow="1" w:lastColumn="0" w:lastRow="0" w:noHBand="0" w:noVBand="1" w:val="04A0"/>
      </w:tblPr>
      <w:tblGrid>
        <w:gridCol w:w="3120"/>
        <w:gridCol w:w="3120"/>
        <w:gridCol w:w="3120"/>
      </w:tblGrid>
      <w:tr>
        <w:trPr>
          <w:tblHeader/>
        </w:trPr>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Condition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EM Recommendation</w:t>
            </w:r>
          </w:p>
        </w:tc>
        <w:tc>
          <w:tcPr>
            <w:tcW w:type="dxa" w:w="64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Action</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Pass rate 100%, 0 open Sev 1/2 defects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Schedule production deployment; notify customer sponsor</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Pass rate 95-99%, 0 open Sev 1 defects, all Sev 2 have approved deferral</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CONDITIONAL GO</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Proceed to production; Sev 2 items enter hypercare backlog immediately</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Pass rate &lt; 95% OR any open Sev 1 defect</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NO-GO</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Fix Sev 1 defects; re-run failed scenarios; schedule UAT cycle 2</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Pass rate &lt; 90% OR more than 3 open Sev 2 defects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NO-GO — investigate root cause</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Review whether sprint configuration is complete; may indicate rework of a sprint deliverable</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INT-UAT-02 UAT Execution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