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TEMPLATE · TRUST-BUT-VERIFY DISCIPLINE</w:t>
      </w:r>
    </w:p>
    <w:p>
      <w:pPr>
        <w:spacing w:before="0" w:after="40"/>
      </w:pPr>
      <w:r>
        <w:rPr>
          <w:rFonts w:ascii="Calibri" w:hAnsi="Calibri"/>
          <w:b/>
          <w:color w:val="0B1F3A"/>
          <w:sz w:val="56"/>
        </w:rPr>
        <w:t>Bi-Weekly Sponsor Sync</w:t>
      </w:r>
    </w:p>
    <w:p>
      <w:pPr>
        <w:spacing w:before="0" w:after="40"/>
      </w:pPr>
      <w:r>
        <w:rPr>
          <w:rFonts w:ascii="Calibri" w:hAnsi="Calibri"/>
          <w:b/>
          <w:color w:val="0B1F3A"/>
          <w:sz w:val="56"/>
        </w:rPr>
        <w:t>Agenda Template</w:t>
      </w:r>
    </w:p>
    <w:p>
      <w:pPr>
        <w:spacing w:before="120" w:after="400"/>
      </w:pPr>
      <w:r>
        <w:rPr>
          <w:rFonts w:ascii="Calibri" w:hAnsi="Calibri"/>
          <w:i/>
          <w:color w:val="0D9488"/>
          <w:sz w:val="24"/>
        </w:rPr>
        <w:t>The 45-minute cadence that keeps sponsors aligned and drift visible before it becomes commitment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Engagement Manager (primary) · Solution Architect (attends)</w:t>
      </w:r>
    </w:p>
    <w:p>
      <w:pPr>
        <w:spacing w:after="40"/>
      </w:pPr>
      <w:r>
        <w:rPr>
          <w:rFonts w:ascii="Calibri" w:hAnsi="Calibri"/>
          <w:b w:val="0"/>
          <w:i w:val="0"/>
          <w:color w:val="475569"/>
          <w:sz w:val="20"/>
        </w:rPr>
        <w:t>Companion to: INT-TBV-01 (Manager Playbook) · INT-TBV-02 (Health Dashboard) · INT-TBV-03 (Variance Tracker)</w:t>
      </w:r>
    </w:p>
    <w:p>
      <w:pPr>
        <w:spacing w:after="80"/>
      </w:pPr>
      <w:r>
        <w:rPr>
          <w:rFonts w:ascii="Calibri" w:hAnsi="Calibri"/>
          <w:b w:val="0"/>
          <w:i w:val="0"/>
          <w:color w:val="475569"/>
          <w:sz w:val="20"/>
        </w:rPr>
        <w:t>Document ID: INT-TBV-04     ·     Version: 1.0     ·     Status: Released</w:t>
      </w:r>
    </w:p>
    <w:p>
      <w:pPr>
        <w:spacing w:after="280"/>
      </w:pPr>
      <w:r>
        <w:rPr>
          <w:rFonts w:ascii="Calibri" w:hAnsi="Calibri"/>
          <w:b w:val="0"/>
          <w:i/>
          <w:color w:val="475569"/>
          <w:sz w:val="20"/>
        </w:rPr>
        <w:t>Internal Use Only · Confidential</w:t>
      </w:r>
    </w:p>
    <w:p>
      <w:pPr>
        <w:spacing w:after="160" w:before="0"/>
      </w:pPr>
      <w:r>
        <w:rPr>
          <w:rFonts w:ascii="Calibri" w:hAnsi="Calibri"/>
          <w:color w:val="1A1A1A"/>
          <w:sz w:val="22"/>
        </w:rPr>
        <w:t>Complete this template before every bi-weekly sponsor sync. Circulate the completed agenda to the sponsor and ECS attendees 24 hours before the meeting. Do not run the sync without a completed agenda — the agenda is the mechanism, not the meeting.</w:t>
      </w:r>
    </w:p>
    <w:p>
      <w:pPr>
        <w:pStyle w:val="Heading1"/>
      </w:pPr>
      <w:r>
        <w:t>How to Use This Template</w:t>
      </w:r>
    </w:p>
    <w:p>
      <w:pPr>
        <w:spacing w:after="160" w:before="0"/>
      </w:pPr>
      <w:r>
        <w:rPr>
          <w:rFonts w:ascii="Calibri" w:hAnsi="Calibri"/>
          <w:color w:val="1A1A1A"/>
          <w:sz w:val="22"/>
        </w:rPr>
        <w:t>This document is a repeating template. Before each sync, the Engagement Manager creates a new copy, fills in the header block (date, sprint, attendees), completes the pre-meeting checklist, and drafts the agenda item notes from the Engagement Health Dashboard (INT-TBV-02) and Variance Tracker (INT-TBV-03). After the sync, the EM records meeting notes in-line and captures action items in the tracker table.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three items you must surface every sync regardless of agenda: (1) any vector currently Yellow or Red with the EM's planned response; (2) any customization request raised in the last two weeks, even if pre-Council, framed against the OOTB alternative; (3) any signal from the customer team suggesting 'but our old system did X' is forming as a position.</w:t>
      </w:r>
    </w:p>
    <w:p>
      <w:pPr>
        <w:spacing w:after="40" w:before="0"/>
      </w:pPr>
      <w:r>
        <w:rPr>
          <w:rFonts w:ascii="Calibri" w:hAnsi="Calibri"/>
          <w:b/>
          <w:color w:val="1A1A1A"/>
          <w:sz w:val="22"/>
        </w:rPr>
        <w:t>Anti-patterns to avoid in every sync:</w:t>
      </w:r>
    </w:p>
    <w:p>
      <w:pPr>
        <w:pStyle w:val="ListBullet"/>
        <w:spacing w:after="40"/>
        <w:ind w:left="360"/>
      </w:pPr>
      <w:r>
        <w:rPr>
          <w:rFonts w:ascii="Calibri" w:hAnsi="Calibri"/>
          <w:sz w:val="22"/>
        </w:rPr>
        <w:t>The 'casual catch-up' — running without the agenda template open and the dashboard visible.</w:t>
      </w:r>
    </w:p>
    <w:p>
      <w:pPr>
        <w:pStyle w:val="ListBullet"/>
        <w:spacing w:after="40"/>
        <w:ind w:left="360"/>
      </w:pPr>
      <w:r>
        <w:rPr>
          <w:rFonts w:ascii="Calibri" w:hAnsi="Calibri"/>
          <w:sz w:val="22"/>
        </w:rPr>
        <w:t>The 'good news only' sync — reporting green vectors and omitting yellow ones to avoid a difficult conversation.</w:t>
      </w:r>
    </w:p>
    <w:p>
      <w:pPr>
        <w:pStyle w:val="ListBullet"/>
        <w:spacing w:after="40"/>
        <w:ind w:left="360"/>
      </w:pPr>
      <w:r>
        <w:rPr>
          <w:rFonts w:ascii="Calibri" w:hAnsi="Calibri"/>
          <w:sz w:val="22"/>
        </w:rPr>
        <w:t>The 'absorb the ask' sync — verbally agreeing to a customization in the meeting before it goes through the Council.</w:t>
      </w:r>
    </w:p>
    <w:p>
      <w:r>
        <w:br w:type="page"/>
      </w:r>
    </w:p>
    <w:p>
      <w:pPr>
        <w:pStyle w:val="Heading1"/>
      </w:pPr>
      <w:r>
        <w:t>Sync Header — Complete Before Circulating</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Value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Name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[Enter engagement name]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Sync Date &amp; Time</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[Enter date and time]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 Week</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[e.g., Sprint 3 – Week A]</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[Name]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Sponsor</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 and title]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Additional Attendees</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[Names — keep to minimum required for quorum]</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Variance Band (entering sync)</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[Green / Yellow / Orange / Red — from INT-TBV-02]</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Council Items Pending</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[Number of open customization requests awaiting Council decision]</w:t>
            </w:r>
          </w:p>
        </w:tc>
      </w:tr>
    </w:tbl>
    <w:p>
      <w:pPr>
        <w:spacing w:after="40"/>
      </w:pPr>
    </w:p>
    <w:p>
      <w:r>
        <w:br w:type="page"/>
      </w:r>
    </w:p>
    <w:p>
      <w:pPr>
        <w:pStyle w:val="Heading1"/>
      </w:pPr>
      <w:r>
        <w:t>Pre-Meeting Checklist — Complete 24 Hours Before Sync</w:t>
      </w:r>
    </w:p>
    <w:p>
      <w:pPr>
        <w:spacing w:after="160" w:before="0"/>
      </w:pPr>
      <w:r>
        <w:rPr>
          <w:rFonts w:ascii="Calibri" w:hAnsi="Calibri"/>
          <w:color w:val="1A1A1A"/>
          <w:sz w:val="22"/>
        </w:rPr>
        <w:t>The EM confirms all items below before circulating the agenda. If an item cannot be confirmed, note the gap.</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Checklist Item</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INT-TBV-02 (Health Dashboard) updated for this week's scan</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Done  ☐ Pending</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INT-TBV-03 (Variance Tracker) current — all requests logged through Stage 3 minimum</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Done  ☐ Pending</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Any Yellow or Red vector identified and EM talking-points prepared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Done  ☐ N/A</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requests raised since last sync summarized with OOTB alternative (at least one line)</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Done  ☐ N/A</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Sponsor's open items from last sync reviewed — response ready</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Done  ☐ N/A</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Decisions required this sprint identified — decision-framing prepared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Done  ☐ N/A</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Meeting link / room confirmed and agenda sent to all attendees</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Done  ☐ Pending</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r>
        <w:br w:type="page"/>
      </w:r>
    </w:p>
    <w:p>
      <w:pPr>
        <w:pStyle w:val="Heading1"/>
      </w:pPr>
      <w:r>
        <w:t>Agenda — 45 Minutes Total</w:t>
      </w:r>
    </w:p>
    <w:p>
      <w:pPr>
        <w:spacing w:after="160" w:before="0"/>
      </w:pPr>
      <w:r>
        <w:rPr>
          <w:rFonts w:ascii="Calibri" w:hAnsi="Calibri"/>
          <w:color w:val="1A1A1A"/>
          <w:sz w:val="22"/>
        </w:rPr>
        <w:t>Follow the time blocks as written. If an agenda item is running long, park the detail in the Notes section and continue — the action item tracker captures what needs follow-up. Do not convert the sponsor's open items block into another EM-led monologue.</w:t>
      </w:r>
    </w:p>
    <w:p>
      <w:pPr>
        <w:pStyle w:val="Heading2"/>
      </w:pPr>
      <w:r>
        <w:t>Block 1 — Build Progress Since Last Sync (10 min)</w:t>
      </w:r>
    </w:p>
    <w:p>
      <w:pPr>
        <w:spacing w:after="160" w:before="0"/>
      </w:pPr>
      <w:r>
        <w:rPr>
          <w:rFonts w:ascii="Calibri" w:hAnsi="Calibri"/>
          <w:color w:val="1A1A1A"/>
          <w:sz w:val="22"/>
        </w:rPr>
        <w:t>EM-led. Walk the Engagement Health Dashboard at vector level — not line by line, but one sentence per vector.</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Vector</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Current Band</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Change Since Last Sync</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EM Talking Points</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Adoption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[Green/Yellow/Red]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[Moved up / Stayed / Moved down]</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Configuration Hygiene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[Green/Yellow/Red]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[Moved up / Stayed / Moved down]</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Variance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[Green/Yellow/Red]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[Moved up / Stayed / Moved down]</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Adoption Readiness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[Green/Yellow/Red]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[Moved up / Stayed / Moved down]</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Sentiment &amp; Trust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[Green/Yellow/Red]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[Moved up / Stayed / Moved down]</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Overall Band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[Green/Yellow/Red]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[Moved up / Stayed / Moved down]</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spacing w:after="40" w:before="0"/>
      </w:pPr>
      <w:r>
        <w:rPr>
          <w:rFonts w:ascii="Calibri" w:hAnsi="Calibri"/>
          <w:b/>
          <w:color w:val="1A1A1A"/>
          <w:sz w:val="22"/>
        </w:rPr>
        <w:t>Meeting notes — Block 1:</w:t>
      </w:r>
    </w:p>
    <w:p>
      <w:pPr>
        <w:spacing w:after="160" w:before="0"/>
      </w:pPr>
      <w:r>
        <w:rPr>
          <w:rFonts w:ascii="Calibri" w:hAnsi="Calibri"/>
          <w:color w:val="1A1A1A"/>
          <w:sz w:val="22"/>
        </w:rPr>
        <w:t>[Enter notes here]</w:t>
      </w:r>
    </w:p>
    <w:p>
      <w:pPr>
        <w:pStyle w:val="Heading2"/>
      </w:pPr>
      <w:r>
        <w:t>Block 2 — Decisions Coming This Sprint (10 min)</w:t>
      </w:r>
    </w:p>
    <w:p>
      <w:pPr>
        <w:spacing w:after="160" w:before="0"/>
      </w:pPr>
      <w:r>
        <w:rPr>
          <w:rFonts w:ascii="Calibri" w:hAnsi="Calibri"/>
          <w:color w:val="1A1A1A"/>
          <w:sz w:val="22"/>
        </w:rPr>
        <w:t>EM-led. Frame each decision using the two-key model: what is the customer deciding, what is ECS recommending, and what is the Council-decision timeline.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Required</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Recommendation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Customer's Question / Position</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Target Decision Date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[Enter decision 1]</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approach + rationale]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[Enter decision 2]</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approach + rationale]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[Enter decision 3 if applicable]</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spacing w:after="40" w:before="0"/>
      </w:pPr>
      <w:r>
        <w:rPr>
          <w:rFonts w:ascii="Calibri" w:hAnsi="Calibri"/>
          <w:b/>
          <w:color w:val="1A1A1A"/>
          <w:sz w:val="22"/>
        </w:rPr>
        <w:t>Meeting notes — Block 2:</w:t>
      </w:r>
    </w:p>
    <w:p>
      <w:pPr>
        <w:spacing w:after="160" w:before="0"/>
      </w:pPr>
      <w:r>
        <w:rPr>
          <w:rFonts w:ascii="Calibri" w:hAnsi="Calibri"/>
          <w:color w:val="1A1A1A"/>
          <w:sz w:val="22"/>
        </w:rPr>
        <w:t>[Enter notes here]</w:t>
      </w:r>
    </w:p>
    <w:p>
      <w:pPr>
        <w:pStyle w:val="Heading2"/>
      </w:pPr>
      <w:r>
        <w:t>Block 3 — Customization Council Update (10 min)</w:t>
      </w:r>
    </w:p>
    <w:p>
      <w:pPr>
        <w:spacing w:after="160" w:before="0"/>
      </w:pPr>
      <w:r>
        <w:rPr>
          <w:rFonts w:ascii="Calibri" w:hAnsi="Calibri"/>
          <w:color w:val="1A1A1A"/>
          <w:sz w:val="22"/>
        </w:rPr>
        <w:t>EM-led. What was raised since last sync, what was decided, and what is pending Council. Every customization request — even brand-new ones — gets named here with its OOTB alternative framing. Do not allow a customization to exist without the sponsor knowing it is in the deviation lifecycle.</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Request ID</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Description</w:t>
            </w:r>
          </w:p>
        </w:tc>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Stage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Alternative (one line)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Council Date / Decision</w:t>
            </w:r>
          </w:p>
        </w:tc>
      </w:tr>
      <w:tr>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[CVT-###]</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[Stage 1–6]</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[CVT-###]</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[Stage 1–6]</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[CVT-###]</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[Stage 1–6]</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spacing w:after="40" w:before="0"/>
      </w:pPr>
      <w:r>
        <w:rPr>
          <w:rFonts w:ascii="Calibri" w:hAnsi="Calibri"/>
          <w:b/>
          <w:color w:val="1A1A1A"/>
          <w:sz w:val="22"/>
        </w:rPr>
        <w:t>Meeting notes — Block 3:</w:t>
      </w:r>
    </w:p>
    <w:p>
      <w:pPr>
        <w:spacing w:after="160" w:before="0"/>
      </w:pPr>
      <w:r>
        <w:rPr>
          <w:rFonts w:ascii="Calibri" w:hAnsi="Calibri"/>
          <w:color w:val="1A1A1A"/>
          <w:sz w:val="22"/>
        </w:rPr>
        <w:t>[Enter notes here]</w:t>
      </w:r>
    </w:p>
    <w:p>
      <w:pPr>
        <w:pStyle w:val="Heading2"/>
      </w:pPr>
      <w:r>
        <w:t>Block 4 — Sponsor's Open Items (10 min)</w:t>
      </w:r>
    </w:p>
    <w:p>
      <w:pPr>
        <w:spacing w:after="160" w:before="0"/>
      </w:pPr>
      <w:r>
        <w:rPr>
          <w:rFonts w:ascii="Calibri" w:hAnsi="Calibri"/>
          <w:color w:val="1A1A1A"/>
          <w:sz w:val="22"/>
        </w:rPr>
        <w:t>Sponsor-led. EM listens. Do not fill this block with EM talking points. This block exists to surface concerns the sponsor has been holding. If the sponsor says 'we are fine,' probe once: 'Anything from your team this week about the direction we are taking?'</w:t>
      </w:r>
    </w:p>
    <w:p>
      <w:pPr>
        <w:spacing w:after="40" w:before="0"/>
      </w:pPr>
      <w:r>
        <w:rPr>
          <w:rFonts w:ascii="Calibri" w:hAnsi="Calibri"/>
          <w:b/>
          <w:color w:val="1A1A1A"/>
          <w:sz w:val="22"/>
        </w:rPr>
        <w:t>Meeting notes — Block 4 (sponsor's concerns / questions):</w:t>
      </w:r>
    </w:p>
    <w:p>
      <w:pPr>
        <w:spacing w:after="160" w:before="0"/>
      </w:pPr>
      <w:r>
        <w:rPr>
          <w:rFonts w:ascii="Calibri" w:hAnsi="Calibri"/>
          <w:color w:val="1A1A1A"/>
          <w:sz w:val="22"/>
        </w:rPr>
        <w:t>[Enter notes here — capture verbatim if possible]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the sponsor raises a customization request verbally here, do NOT commit in the meeting. Response: 'That is exactly what the Council process is for — let me log it and get you the OOTB alternative before we make any commitment.' Then log it in INT-TBV-03 within 24 hours.</w:t>
      </w:r>
    </w:p>
    <w:p>
      <w:pPr>
        <w:pStyle w:val="Heading2"/>
      </w:pPr>
      <w:r>
        <w:t>Block 5 — Action Recap and Next Steps (5 min)</w:t>
      </w:r>
    </w:p>
    <w:p>
      <w:pPr>
        <w:spacing w:after="160" w:before="0"/>
      </w:pPr>
      <w:r>
        <w:rPr>
          <w:rFonts w:ascii="Calibri" w:hAnsi="Calibri"/>
          <w:color w:val="1A1A1A"/>
          <w:sz w:val="22"/>
        </w:rPr>
        <w:t>EM-led. Read the action table back to the group. Confirm owner and due date for each item.</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 Item</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Due Date</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w:t>
            </w:r>
          </w:p>
        </w:tc>
      </w:tr>
    </w:tbl>
    <w:p>
      <w:pPr>
        <w:spacing w:after="40"/>
      </w:pPr>
    </w:p>
    <w:p>
      <w:r>
        <w:br w:type="page"/>
      </w:r>
    </w:p>
    <w:p>
      <w:pPr>
        <w:pStyle w:val="Heading1"/>
      </w:pPr>
      <w:r>
        <w:t>Carry-Forward Items from Prior Syncs</w:t>
      </w:r>
    </w:p>
    <w:p>
      <w:pPr>
        <w:spacing w:after="160" w:before="0"/>
      </w:pPr>
      <w:r>
        <w:rPr>
          <w:rFonts w:ascii="Calibri" w:hAnsi="Calibri"/>
          <w:color w:val="1A1A1A"/>
          <w:sz w:val="22"/>
        </w:rPr>
        <w:t>Track items from previous syncs that are still open. The EM updates this section at the start of each new sync cycle. Items not resolved after two sync cycles escalate to the Practice Lead.</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Sync Date</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Escalate?</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Closed</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w:t>
            </w:r>
          </w:p>
        </w:tc>
      </w:tr>
    </w:tbl>
    <w:p>
      <w:pPr>
        <w:spacing w:after="40"/>
      </w:pPr>
    </w:p>
    <w:p>
      <w:pPr>
        <w:pStyle w:val="Heading1"/>
      </w:pPr>
      <w:r>
        <w:t>Coaching Note for New Engagement Managers</w:t>
      </w:r>
    </w:p>
    <w:p>
      <w:pPr>
        <w:spacing w:after="160" w:before="0"/>
      </w:pPr>
      <w:r>
        <w:rPr>
          <w:rFonts w:ascii="Calibri" w:hAnsi="Calibri"/>
          <w:color w:val="1A1A1A"/>
          <w:sz w:val="22"/>
        </w:rPr>
        <w:t>The Sponsor Sync fails in one of three predictable ways. The first is running it as a status report — the sponsor hears what is done and feels informed, but no one surfaces what is at risk. The second is running it as a relationship call — the conversation is warm but the dashboard is not opened and customization requests are not named. The third is treating the sponsor's ask as a final answer — the sponsor says 'we want X,' and the EM nods without routing through the Council.</w:t>
      </w:r>
    </w:p>
    <w:p>
      <w:pPr>
        <w:spacing w:after="160" w:before="0"/>
      </w:pPr>
      <w:r>
        <w:rPr>
          <w:rFonts w:ascii="Calibri" w:hAnsi="Calibri"/>
          <w:color w:val="1A1A1A"/>
          <w:sz w:val="22"/>
        </w:rPr>
        <w:t>The agenda template prevents all three patterns when it is followed. The discipline is the template. If you feel the template is making conversations awkward, the solution is more practice, not less structure.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Pair this template with INT-TBV-01 (Manager Playbook) Section 5 for full context on Sponsor Sync discipline, and INT-TBV-08 (Course-Correction Playbook) for what to do when a sync reveals a band-crossing.</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Internal · Bi-Weekly Sponsor Sync Agenda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