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TEMPLATE · CUSTOMIZATION COUNCIL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Customization Council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Pre-Read Template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Circulate 48 hours before every Council meeting — no pre-read, no Council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Practice Lead · Engagement Manager · Solution Architect · Customer Sponsor (receives redacted version)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INT-TBV-01 (Manager Playbook) · INT-TBV-03 (Variance Tracker) · ECS Internal Governance Operating Guide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INT-TBV-05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Customization Council Pre-Read is the mechanism that separates a disciplined customization decision from a verbal commitment made under sponsor pressure. Every Council meeting requires this document, circulated 48 hours in advance. Sponsors who arrive without reading the pre-read are rescheduled. The Council is not the reading session.</w:t>
      </w:r>
    </w:p>
    <w:p>
      <w:pPr>
        <w:pStyle w:val="Heading1"/>
      </w:pPr>
      <w:r>
        <w:t>How to Use This Template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Solution Architect completes Sections 1 through 4. The Engagement Manager completes Section 5 (Contract Risk). The SA and EM jointly draft the Recommendation in Section 6. The Practice Lead reviews the complete pre-read before circulation. Section 7 (Council Decision) is completed during the meeting. A copy of the completed pre-read — including the decision — is filed in the engagement's SharePoint folder and the decision is recorded in INT-TBV-03 (Variance Tracker).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This template covers one customization request per document. If multiple requests are being decided in the same Council session, create one pre-read per request and bundle them with a cover page listing all items.</w:t>
      </w:r>
    </w:p>
    <w:p>
      <w:r>
        <w:br w:type="page"/>
      </w:r>
    </w:p>
    <w:p>
      <w:pPr>
        <w:pStyle w:val="Heading1"/>
      </w:pPr>
      <w:r>
        <w:t>1.  Section 1 — Customization Request Summary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 this section before the OOTB Alternative Analysis. It frames what is being decided.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Request ID (from INT-TBV-03)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[CVT-###]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Name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[Enter engagement name]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Raised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[e.g., Sprint 2]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Requestor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[Customer SME name and role]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Request Date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 raised]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Council Date (proposed)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 — 48+ hrs after this pre-read circulation]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Classification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[Customization | PCR]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Request Description (one paragraph)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[Describe the customer's stated need in their language — not ECS language]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Business Justification (as stated by customer)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[Verbatim or close paraphrase of what the customer said — resist translating yet]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Module / Area Affected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[e.g., Incident Management, Service Catalog, CMDB]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Scope Estimate (hours)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[SA initial estimate — will be refined in Section 3]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Section 2 — OOTB Alternative Analysis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Completed by the Solution Architect. This is the core discipline document. Be specific — 'the OOTB way works' is not an analysis.</w:t>
      </w:r>
    </w:p>
    <w:p>
      <w:pPr>
        <w:pStyle w:val="Heading2"/>
      </w:pPr>
      <w:r>
        <w:t>2.1 What the customer is trying to accomplish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Translate the customer's stated request into the underlying business outcome they are trying to achieve. Often the request and the outcome are different. Example: 'We want a custom approval flow' → Outcome: 'We want to ensure that hardware requests over $5,000 are approved by a VP before fulfillment.'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the underlying business outcome here — one or two sentences]</w:t>
      </w:r>
    </w:p>
    <w:p>
      <w:pPr>
        <w:pStyle w:val="Heading2"/>
      </w:pPr>
      <w:r>
        <w:t>2.2 The OOTB path to that outcome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Describe specifically how ServiceNow OOTB handles the underlying business outcome. Include table names, module names, and configuration options.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the OOTB approach here — be specific enough that a consultant could implement it from this description]</w:t>
      </w:r>
    </w:p>
    <w:p>
      <w:pPr>
        <w:pStyle w:val="Heading2"/>
      </w:pPr>
      <w:r>
        <w:t>2.3 Gap analysis — what OOTB does not cover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Identify the specific gap between what OOTB provides and what the customer needs. Be precise — 'OOTB doesn't support that' is not a gap analysis. A gap analysis names the specific field, workflow step, or behavior that cannot be configured without code.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the specific gaps here. If there are no real gaps — if OOTB fully covers the need — state that and recommend rejection.]</w:t>
      </w:r>
    </w:p>
    <w:p>
      <w:pPr>
        <w:pStyle w:val="Heading2"/>
      </w:pPr>
      <w:r>
        <w:t>2.4 Effort to close the gap via OOTB configuration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If the gap can be closed with OOTB configuration (not customization), estimate the effort and describe the configuration approach.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OOTB configuration effort estimate and approach, or 'Not applicable — gap requires code change']</w:t>
      </w:r>
    </w:p>
    <w:p>
      <w:pPr>
        <w:pStyle w:val="Heading2"/>
      </w:pPr>
      <w:r>
        <w:t>2.5 OOTB Alternative Recommendation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SA Assessment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fully covers the need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with configuration covers the need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 — if yes, describe the configuration]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Genuine gap requiring code change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 — if yes, estimated scope: ___ hours]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 recommends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[Approve / Reject / Redesign with customer / PCR]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Section 3 — Scope and Effort Estimate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Completed by the Solution Architect. Required whether the recommendation is Approve or Reject.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Estimate Component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Hours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(code / configuration)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Test (unit + integration)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validation / UAT support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Documentation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Post-go-live support / maintenance (annual estimate)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Customer-owned after handoff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=SUM above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Sprint capacity impact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Express the total effort as a percentage of the sprint capacity in which it would be built.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target for this build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[Sprint X]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capacity (hrs)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[From INT-TBV-03 Capacity Reference tab]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This request's effort (hrs)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[From table above]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Capacity consumed by this request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[Effort / Capacity × 100%]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Cumulative variance if approved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[From INT-TBV-02 — current variance + this request]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Projected band after approval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[Green / Yellow / Orange / Red]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Section 4 — Business Outcome and AI Realization Alignment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Completed by the Solution Architect with input from the Process Consultant. The Council's two-key decision model requires both a business-need key (customer) and a technical-path key (ECS). This section supplies the analysis that allows the customer to sign the business-need key in an informed way.</w:t>
      </w:r>
    </w:p>
    <w:p>
      <w:pPr>
        <w:pStyle w:val="Heading2"/>
      </w:pPr>
      <w:r>
        <w:t>4.1 AI realization impact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ServiceNow's AI features (Now Assist, Predictive Intelligence, Virtual Agent resolution, etc.) depend on clean, OOTB-aligned data in standard tables. Customizations that write to custom tables or bypass OOTB workflows can block AI adoption. Assess this request's impact.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AI Impact Factor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Assessment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Now Assist compatibility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[Not impacted / Reduced / Blocked]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Predictive Intelligence data quality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[Not impacted / Reduced / Blocked]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Virtual Agent resolution scope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[Not impacted / Reduced / Blocked]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Future OOTB upgrade compatibility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[Not impacted / Reduced / Blocked]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4.2 Technical debt created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Describe the technical debt this customization introduces if approved. Be specific — 'it adds debt' is not an assessment.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specific technical debt created: upgrade risk, maintenance burden, future rework estimate]</w:t>
      </w:r>
    </w:p>
    <w:p>
      <w:pPr>
        <w:pStyle w:val="Heading2"/>
      </w:pPr>
      <w:r>
        <w:t>4.3 Alternative ways to meet the business need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If the OOTB alternative does not fully close the gap, describe alternative business process approaches that could meet the outcome without customization. Example: a process change that eliminates the need for the custom approval flow, or a phased approach that defers the requirement to a follow-on engagement.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alternatives — or 'No viable process alternative identified']</w:t>
      </w:r>
    </w:p>
    <w:p>
      <w:r>
        <w:br w:type="page"/>
      </w:r>
    </w:p>
    <w:p>
      <w:pPr>
        <w:pStyle w:val="Heading1"/>
      </w:pPr>
      <w:r>
        <w:t>5.  Section 5 — Contract Risk Assessment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Completed by the Engagement Manager.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Contract Risk Factor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Assessment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Is this within the current SOW scope?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 / Borderline]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Does approving this require a PCR?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 — if borderline, explain]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Does approving this set a precedent that opens the door to similar requests?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 — if yes, name the follow-on risk]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Is the SOW language ambiguous in a way the customer may use to argue entitlement?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 — if yes, cite the clause]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Recommended commercial action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[No action / Monitor / PCR / Escalate]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 Section 6 — ECS Recommendation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Drafted jointly by the Solution Architect and Engagement Manager. The Practice Lead reviews before circulation.</w:t>
      </w:r>
    </w:p>
    <w:p>
      <w:pPr>
        <w:pStyle w:val="Heading2"/>
      </w:pPr>
      <w:r>
        <w:t>6.1 Recommended Council decision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Option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Selected?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Approve — build in Sprint [X]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No]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Approve — defer to product backlog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No]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Reject — OOTB alternative sufficient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No]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PCR — scope exceeds SOW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[Yes / No]</w:t>
            </w:r>
          </w:p>
        </w:tc>
        <w:tc>
          <w:tcPr>
            <w:tcW w:type="dxa" w:w="72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6.2 Recommendation rationale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a concise paragraph summarizing why ECS is making this recommendation. This is what the sponsor reads most carefully.]</w:t>
      </w:r>
    </w:p>
    <w:p>
      <w:pPr>
        <w:pStyle w:val="Heading2"/>
      </w:pPr>
      <w:r>
        <w:t>6.3 Conditions of approval (if recommending Approve)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If recommending approval, state the conditions — what the customer must confirm and what ECS must deliver.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conditions, or 'Not applicable — rejection or PCR recommended']</w:t>
      </w:r>
    </w:p>
    <w:p>
      <w:pPr>
        <w:pStyle w:val="Heading2"/>
      </w:pPr>
      <w:r>
        <w:t>6.4 What happens if the Council rejects this recommendation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Describe the path forward if the Council makes a different decision than recommended. This ensures the Council understands consequences and is not deciding blind.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the alternative path — e.g., 'If the Council approves contrary to SA recommendation, ECS will build under protest and document the AI realization risk in the engagement record.']</w:t>
      </w:r>
    </w:p>
    <w:p>
      <w:r>
        <w:br w:type="page"/>
      </w:r>
    </w:p>
    <w:p>
      <w:pPr>
        <w:pStyle w:val="Heading1"/>
      </w:pPr>
      <w:r>
        <w:t>7.  Section 7 — Council Decision Record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Completed during the Council meeting by the Engagement Manager. This is the official record.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Council Date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Attendees (name and role)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[Approve-Sprint / Approve-Backlog / Reject / PCR]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approved for (if applicable)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Conditions of approval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sponsor sign-off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[Sponsor name + verbal confirmation noted]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Lead sign-off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[Practice Lead name + signature or initials]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Date entered in INT-TBV-03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Date filed in engagement SharePoint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A Council decision is not final until both keys are signed: the customer sponsor signs the business-need key and the ECS Practice Lead signs the technical-path key. Verbal agreement in the meeting is not sufficient. The EM records both sign-offs in this table before any build commitment is made.</w:t>
      </w:r>
    </w:p>
    <w:p>
      <w:pPr>
        <w:pStyle w:val="Heading1"/>
      </w:pPr>
      <w:r>
        <w:t>8.  Quick Reference — Completing This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Who Completes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When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 – Request Summary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Immediately when request is raised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– OOTB Alternative Analysis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Within 48 hrs of request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– Scope and Effort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Solution Architect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With Section 2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 – Business Outcome Alignment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 + Process Consultant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Before scheduling Council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 – Contract Risk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Before scheduling Council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 – Recommendation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 + EM, reviewed by PL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48 hrs before Council — then circulate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7 – Council Decision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 (during meeting)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During Council — filed within 24 hrs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/>
    <w:r>
      <w:tab/>
    </w:r>
    <w:r>
      <w:rPr>
        <w:rFonts w:ascii="Calibri" w:hAnsi="Calibri"/>
        <w:color w:val="475569"/>
        <w:spacing w:val="30"/>
        <w:sz w:val="18"/>
      </w:rPr>
      <w:t>Internal · Customization Council Pre-Read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